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244A71DF" w14:textId="77777777" w:rsidTr="00680392">
        <w:tc>
          <w:tcPr>
            <w:tcW w:w="2122" w:type="dxa"/>
          </w:tcPr>
          <w:p w14:paraId="5F6A3684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08BA5E37" w14:textId="32374EE6" w:rsidR="00170E21" w:rsidRPr="00680392" w:rsidRDefault="00BF169F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51343</w:t>
            </w:r>
          </w:p>
          <w:p w14:paraId="70BD2BE9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788441FB" w14:textId="77777777" w:rsidTr="00680392">
        <w:tc>
          <w:tcPr>
            <w:tcW w:w="2122" w:type="dxa"/>
          </w:tcPr>
          <w:p w14:paraId="56FF44F6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1A05801D" w14:textId="59CA5AF1" w:rsidR="00170E21" w:rsidRPr="00680392" w:rsidRDefault="00BF169F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DUBROVNIK</w:t>
            </w:r>
          </w:p>
          <w:p w14:paraId="60109DD8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1DE26568" w14:textId="77777777" w:rsidTr="00680392">
        <w:tc>
          <w:tcPr>
            <w:tcW w:w="2122" w:type="dxa"/>
          </w:tcPr>
          <w:p w14:paraId="04E42436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3F4DDFFE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2996EBD7" w14:textId="03CEE2B2" w:rsidR="006A7AD0" w:rsidRPr="00680392" w:rsidRDefault="004730D3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680392" w:rsidRPr="00680392" w14:paraId="6C225371" w14:textId="77777777" w:rsidTr="00680392">
        <w:tc>
          <w:tcPr>
            <w:tcW w:w="2122" w:type="dxa"/>
          </w:tcPr>
          <w:p w14:paraId="11591981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223431B9" w14:textId="4CC35173" w:rsidR="00170E21" w:rsidRPr="00680392" w:rsidRDefault="004730D3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01.siječnja 2023 – 31. prosinca 2023</w:t>
            </w:r>
          </w:p>
          <w:p w14:paraId="4764411A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41F0192D" w14:textId="77777777" w:rsidTr="00680392">
        <w:tc>
          <w:tcPr>
            <w:tcW w:w="2122" w:type="dxa"/>
          </w:tcPr>
          <w:p w14:paraId="7BE7FD73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</w:tcPr>
          <w:p w14:paraId="0DF31818" w14:textId="0F0568C7" w:rsidR="00F2541C" w:rsidRPr="00680392" w:rsidRDefault="004730D3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www.portdubrovnik.hr</w:t>
            </w:r>
          </w:p>
        </w:tc>
      </w:tr>
    </w:tbl>
    <w:p w14:paraId="33029FA0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29385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2195B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162368D7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6779BD18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583C60" w14:textId="77777777" w:rsidR="004F6DF2" w:rsidRPr="00680392" w:rsidRDefault="004F6DF2">
          <w:pPr>
            <w:pStyle w:val="TOCHeading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081115FB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4EF44" w14:textId="77777777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BB635" w14:textId="77777777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9D310" w14:textId="77777777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52F56A" w14:textId="77777777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9DACDD" w14:textId="77777777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FD6D75" w14:textId="77777777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CECCE" w14:textId="77777777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589BA" w14:textId="77777777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19E2E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F0E1CFB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B7AB3F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D5691B2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D2055BE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C86526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8154245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29C11A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85E238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E861FE0" w14:textId="77777777" w:rsidR="00170E21" w:rsidRPr="00036DEE" w:rsidRDefault="00170E21" w:rsidP="00036DEE">
      <w:pPr>
        <w:pStyle w:val="Heading1"/>
      </w:pPr>
      <w:bookmarkStart w:id="0" w:name="_Toc128989454"/>
      <w:r w:rsidRPr="00036DEE">
        <w:lastRenderedPageBreak/>
        <w:t>B I LJ E Š K E  U Z  B I L A N C U</w:t>
      </w:r>
      <w:bookmarkEnd w:id="0"/>
    </w:p>
    <w:p w14:paraId="5A81BDCC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3E5B2AC1" w14:textId="77777777" w:rsidR="00170E21" w:rsidRDefault="00170E21" w:rsidP="00036DEE">
      <w:pPr>
        <w:pStyle w:val="Heading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4A83FA51" w14:textId="77777777" w:rsidR="00170E21" w:rsidRPr="00614260" w:rsidRDefault="00170E21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1E5AA75B" w14:textId="334DDF84" w:rsidR="00614260" w:rsidRDefault="005F6BA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neproizvedenoj dugotrajnoj imovini nabavljene su dvije nove studije u vrijednosti od 13.625,00 eur . Studija opravdanosti koncesija na zahtjev (2.625,00 eur) i Studija priobalno napajanje električnom energijom nekonvencionalnih potrošača u luci Dubrovnik – Gruž (11.000,00 eur)</w:t>
      </w:r>
    </w:p>
    <w:p w14:paraId="16D2FE77" w14:textId="77777777" w:rsidR="0069302A" w:rsidRPr="00614260" w:rsidRDefault="0069302A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3292F0ED" w14:textId="53301C60" w:rsidR="00614260" w:rsidRDefault="00927E0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proizvedenu dugotrajnu imovinu utrošeno je ukupno 625.590,11 eur. Zamjena rasvjetnih tijela vanjske rasvjete LED tehnologijom 314.692,98 eur, ulaganje u operativnu obalu ( oblaganje kamenom ogradnog zida i zamjena poklopnica na vezovima 4-9) 196.547,60 eur, radovi na trafostanici 6.290,25 eur, izrada i montaža 3 komada kućica za graničnu kontrolu 100.296,73 eur, nabava dva računala, laptopa i pisača u vrijednosti od 5.455,00 eur, nabava ormara i pet stolica 1329,19 eur, dva mobilna uređaja  605,18 eur i jedan hladnjak 373,18 eur.</w:t>
      </w:r>
    </w:p>
    <w:p w14:paraId="4A3172F6" w14:textId="77777777" w:rsidR="006A7AD0" w:rsidRPr="00614260" w:rsidRDefault="006A7AD0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6614306A" w14:textId="64771C1D" w:rsidR="00614260" w:rsidRDefault="00927E0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F9245A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987B84B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0ACA85E1" w14:textId="7203BB28" w:rsidR="00614260" w:rsidRPr="00614260" w:rsidRDefault="008A5F7F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dugotrajnoj nefinancijskoj imovini u pripremi nije bilo promjena, te iznosi kao i na početku izvještajnog razdoblja </w:t>
      </w:r>
      <w:r w:rsidR="00861409">
        <w:rPr>
          <w:rFonts w:ascii="Times New Roman" w:hAnsi="Times New Roman" w:cs="Times New Roman"/>
          <w:sz w:val="24"/>
          <w:szCs w:val="24"/>
        </w:rPr>
        <w:t>287.731,44 eur, a odnosi se na građevinske objekte u pripremi i to Rekonstrukcija obale – Batahovina II 186.716,11 eur i Nadgradnja obale zona 6-8 sa iznosom od 101.015,33 eur.</w:t>
      </w:r>
    </w:p>
    <w:p w14:paraId="167EAD15" w14:textId="77777777" w:rsidR="006A7AD0" w:rsidRPr="0061426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14C2B5C7" w14:textId="72181079" w:rsidR="00614260" w:rsidRDefault="00861409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CC4612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CF97B7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0699CCD3" w14:textId="0F3B3707" w:rsidR="00614260" w:rsidRP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47,23 eur je novac u blagajni.</w:t>
      </w:r>
    </w:p>
    <w:p w14:paraId="55537A6A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jamčevni polozi i potraživanjaa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615F37DA" w14:textId="13598E69" w:rsidR="00614260" w:rsidRPr="00614260" w:rsidRDefault="004159D8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naknade koje se refundiraju, odnosno isplaćena bolovanja </w:t>
      </w:r>
      <w:r w:rsidR="002B0780">
        <w:rPr>
          <w:rFonts w:ascii="Times New Roman" w:hAnsi="Times New Roman" w:cs="Times New Roman"/>
          <w:sz w:val="24"/>
          <w:szCs w:val="24"/>
        </w:rPr>
        <w:t>na teret</w:t>
      </w:r>
      <w:r>
        <w:rPr>
          <w:rFonts w:ascii="Times New Roman" w:hAnsi="Times New Roman" w:cs="Times New Roman"/>
          <w:sz w:val="24"/>
          <w:szCs w:val="24"/>
        </w:rPr>
        <w:t xml:space="preserve"> HZZO-a . Iznos potraživanja je 20.028,50 eur.</w:t>
      </w:r>
    </w:p>
    <w:p w14:paraId="1CEE8B93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066D5707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B06C1B" w14:textId="748B1CDF" w:rsid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A300301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0EF003E0" w14:textId="612A9E9E" w:rsid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Nema</w:t>
      </w:r>
    </w:p>
    <w:p w14:paraId="28D158EE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4D70EA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6FF17B4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41EF4" w14:textId="61A61464" w:rsidR="00614260" w:rsidRP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4F4494A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316FD6F2" w14:textId="30D40D98" w:rsidR="00614260" w:rsidRPr="00614260" w:rsidRDefault="00301E8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odnose se na: potraživanja za prihode od imovine 121.090,40 eur , to su prvenstvena koncesija, koncesija na prostor i koncesija na djelatnost, potraživanja za upravne i administrativne pristojbe, pristojbe po posebnim propisima i naknadama 389.325,50 eur to su pristojba za kruzere, jahte, linije, ostalo i brodska ležarina, zatim potraživanja proračunskih korisnika za sredstva uplaćena u nadležni proračun 8.781.431,51 eur, i potraživanja za ostale prihode 79.937,33 eur</w:t>
      </w:r>
      <w:r w:rsidR="001822EF">
        <w:rPr>
          <w:rFonts w:ascii="Times New Roman" w:hAnsi="Times New Roman" w:cs="Times New Roman"/>
          <w:sz w:val="24"/>
          <w:szCs w:val="24"/>
        </w:rPr>
        <w:t xml:space="preserve">, a odnose se na troškove sajma Miami 2020. godine </w:t>
      </w:r>
      <w:r w:rsidR="00F04903">
        <w:rPr>
          <w:rFonts w:ascii="Times New Roman" w:hAnsi="Times New Roman" w:cs="Times New Roman"/>
          <w:sz w:val="24"/>
          <w:szCs w:val="24"/>
        </w:rPr>
        <w:t>koji nije realiziran i trebaju se temeljem sporazuma raspodijeliti po lučkim upravama, sudionicima sajma.                  Ispravak vrijednosti potraživanja iznosi 15.271,08 eur.</w:t>
      </w:r>
    </w:p>
    <w:p w14:paraId="2A95D28A" w14:textId="77777777" w:rsidR="006A7AD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50BABCB1" w14:textId="27822466" w:rsidR="00614260" w:rsidRDefault="006470D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6E5B3D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31C56E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716FE3E0" w14:textId="4A4D5CDB" w:rsidR="00614260" w:rsidRDefault="006470D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6C85FD3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4EFB2B" w14:textId="77777777" w:rsidR="00680392" w:rsidRDefault="00680392" w:rsidP="00036DEE">
      <w:pPr>
        <w:pStyle w:val="Heading2"/>
      </w:pPr>
      <w:bookmarkStart w:id="2" w:name="_Toc128989456"/>
    </w:p>
    <w:p w14:paraId="50068DA4" w14:textId="77777777" w:rsidR="0069302A" w:rsidRPr="00036DEE" w:rsidRDefault="001D4818" w:rsidP="00036DEE">
      <w:pPr>
        <w:pStyle w:val="Heading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2"/>
    </w:p>
    <w:p w14:paraId="2674B182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27D26DB5" w14:textId="42B932E3" w:rsidR="00064C4E" w:rsidRPr="00064C4E" w:rsidRDefault="00642A75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u iznosu od 187.973,38 eur su obveze za zaposlene 64.087,21 eur, plaća za prosinac 2023.godine koja je isplaćena u siječnju 2024. godine, obveze za materijalne i financijske rashode 80.420,07 eur su računi iz 2023. godine koji imaju dospijeće u 2024. godini i obveze za jamčevine u iznosu od 43.466,10 eur</w:t>
      </w:r>
    </w:p>
    <w:p w14:paraId="4EC771B3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5461BBAA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694837" w14:textId="20F6F588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6044F8F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6CD1CE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6FB98FCB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CE5548" w14:textId="612A47A6" w:rsidR="00064C4E" w:rsidRP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2AA92C8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lastRenderedPageBreak/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74CDE482" w14:textId="23361343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9C457F9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6FB1F8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B27A7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113AA1C6" w14:textId="69908C41" w:rsidR="00064C4E" w:rsidRP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su izvori vlasništva iz proračuna za nefinancijsku imovinu u iznosu od 21.569.062,47 eur.</w:t>
      </w:r>
    </w:p>
    <w:p w14:paraId="115CE88C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3451FE81" w14:textId="513CB44D" w:rsidR="00064C4E" w:rsidRDefault="00B761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je 8.613.534,08 eur . Obvezna korekcija rezultata iznosi 256.690,17 eur.</w:t>
      </w:r>
    </w:p>
    <w:p w14:paraId="489D64D1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318A7A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5C9A6161" w14:textId="26F0BC85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996B82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22A76D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4A7DC77B" w14:textId="4E4D983D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65A8D14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E31879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252EBC7D" w14:textId="09F56876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D01DBD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5C2F3C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3A8CDFFF" w14:textId="51F04E0D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97A1340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416161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606FFC86" w14:textId="59F534F6" w:rsidR="00064C4E" w:rsidRPr="00064C4E" w:rsidRDefault="003F3438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su 4.910,74 eur. Odnosi se na tuđu imovinu dobivenu na korištenje, računalo i printer </w:t>
      </w:r>
      <w:r w:rsidR="00A862C3">
        <w:rPr>
          <w:rFonts w:ascii="Times New Roman" w:hAnsi="Times New Roman" w:cs="Times New Roman"/>
          <w:sz w:val="24"/>
          <w:szCs w:val="24"/>
        </w:rPr>
        <w:t>za potrebe državne riznice, procijenjena vrijednost 929,06 eur i potencijalne obveze po osnovi sudskih sporova u tijeku radi utvrđenja diskriminacije i naknade štete, tužiteljica Nikica Bautović Ramljak , iz Dubrovnika, djelatnica Lučke uprave Dubrovnik, vrijednost spora 3.981,68 eur.</w:t>
      </w:r>
    </w:p>
    <w:p w14:paraId="433784EF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3A003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E6F19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91463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FC8A4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14201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DDC62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C6209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9C338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30DEA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9AA4A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6C262" w14:textId="77777777" w:rsidR="0069302A" w:rsidRPr="00614260" w:rsidRDefault="0069302A" w:rsidP="00036DEE">
      <w:pPr>
        <w:pStyle w:val="Heading1"/>
      </w:pPr>
      <w:bookmarkStart w:id="3" w:name="_Toc128989457"/>
      <w:r w:rsidRPr="00614260">
        <w:t>B I LJ E Š K E  U Z  O B R A Z A C  P R – R A S</w:t>
      </w:r>
      <w:bookmarkEnd w:id="3"/>
    </w:p>
    <w:p w14:paraId="519BF9D9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67CCE846" w14:textId="77777777" w:rsidR="006A7AD0" w:rsidRDefault="006A7AD0" w:rsidP="00036DEE">
      <w:pPr>
        <w:pStyle w:val="Heading2"/>
      </w:pPr>
      <w:bookmarkStart w:id="4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4"/>
    </w:p>
    <w:p w14:paraId="3AF7BB98" w14:textId="77777777" w:rsidR="00036DEE" w:rsidRPr="00036DEE" w:rsidRDefault="00036DEE" w:rsidP="00036DEE"/>
    <w:p w14:paraId="4CE47ADA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7449E5B8" w14:textId="4D476A7C" w:rsidR="00064C4E" w:rsidRDefault="00797B9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1FEAC98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301AA9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73733426" w14:textId="6B0D69F8" w:rsidR="00036DEE" w:rsidRDefault="00797B9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su 847.597,25 eur, a sastoje se od zateznih kamata 1.814,82 eur, prvenstvene koncesije 136.420,60 eur, koncesije na prostor 286.209,68 eur i koncesije na djelatnost 423.152,15 eur.</w:t>
      </w:r>
    </w:p>
    <w:p w14:paraId="4CA0DFEF" w14:textId="39F4B8B0" w:rsidR="00613C1B" w:rsidRPr="00064C4E" w:rsidRDefault="00613C1B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Bilježimo lagano povećanje prihoda od koncesija za korištenje pomorskog dobra radi usklađivanja naknade za koncesiju sa Lukom Dubrovnik d.d. i povećanja pojedinih naknada za koncesije na pomorskom dobru.</w:t>
      </w:r>
    </w:p>
    <w:p w14:paraId="25A47E7B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32950515" w14:textId="664C41FC" w:rsidR="00036DEE" w:rsidRDefault="00157DB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prihodi iznose 3.823.615,47 eur, a odnose se na pristojbe za upotrebu obale i to kruzeri 3.123.382,54 eur , jahte 309.527,65 eur, linije i ostalo 303.140,59 eur i brodska ležarina 87.564,69 eur.</w:t>
      </w:r>
    </w:p>
    <w:p w14:paraId="19F0CCA6" w14:textId="3DD00149" w:rsidR="00036DEE" w:rsidRPr="00036DEE" w:rsidRDefault="00157DB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Ovdje bilježimo lagano povećanje prihoda na pristojbe za upotrebu obale kruzeri zbog povećanja </w:t>
      </w:r>
      <w:r w:rsidR="00C81700">
        <w:rPr>
          <w:rFonts w:ascii="Times New Roman" w:hAnsi="Times New Roman" w:cs="Times New Roman"/>
          <w:sz w:val="24"/>
          <w:szCs w:val="24"/>
        </w:rPr>
        <w:t>cijena primjenom nove tarife koja je stupila na snagu 01.01.2023. godine.</w:t>
      </w:r>
    </w:p>
    <w:p w14:paraId="45E7C3DC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6751BAAB" w14:textId="736BC234" w:rsidR="00064C4E" w:rsidRDefault="00BE3DCD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573139A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C3E0D8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46EE9C16" w14:textId="0F7DE1BD" w:rsidR="00036DEE" w:rsidRP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iz nadležnog proračuna u iznosu od 262.265,17 eur za financiranje Eu projekta SUSPORT unapređenje kvalitete, sigurnosti i ekološke održivosti pomorskog i kopnenog transporta kroz promicanje multimodalnosti..</w:t>
      </w:r>
    </w:p>
    <w:p w14:paraId="4AE6DC52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159F17F3" w14:textId="77777777" w:rsid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36676CF" w14:textId="55DDAEF8" w:rsidR="00036DEE" w:rsidRPr="00036DE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CE89925" w14:textId="77777777" w:rsidR="00680392" w:rsidRDefault="00680392" w:rsidP="00680392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62481840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02D73A1A" w14:textId="5E2B837F" w:rsid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5DCABAC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B2B01D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5B1B3614" w14:textId="027414FA" w:rsid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3DF68C8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7A337F" w14:textId="77777777" w:rsidR="001D4818" w:rsidRPr="00D649D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09164CCE" w14:textId="5E86E3B9" w:rsidR="00064C4E" w:rsidRDefault="00C11D4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Nema </w:t>
      </w:r>
    </w:p>
    <w:p w14:paraId="378D411F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080446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6B98CC3E" w14:textId="2AB8D0B4" w:rsidR="006A7AD0" w:rsidRDefault="00C11D4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FE0460E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EC77B4" w14:textId="77777777" w:rsidR="00680392" w:rsidRDefault="00680392" w:rsidP="00036DEE">
      <w:pPr>
        <w:pStyle w:val="Heading2"/>
      </w:pPr>
      <w:bookmarkStart w:id="5" w:name="_Toc128989459"/>
    </w:p>
    <w:p w14:paraId="3FB90E74" w14:textId="77777777" w:rsidR="000D58E1" w:rsidRDefault="006A7AD0" w:rsidP="00036DEE">
      <w:pPr>
        <w:pStyle w:val="Heading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5"/>
    </w:p>
    <w:p w14:paraId="396C5EB8" w14:textId="77777777" w:rsidR="00036DEE" w:rsidRPr="00036DEE" w:rsidRDefault="00036DEE" w:rsidP="00036DEE"/>
    <w:p w14:paraId="0D7A85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306E8B5D" w14:textId="2EFEF0EA" w:rsidR="004F6DF2" w:rsidRDefault="00BA535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su 796.762,93 eur su plaće zaposlenih i ostali rashodi zaposlenih nagrade, regres i sl.</w:t>
      </w:r>
    </w:p>
    <w:p w14:paraId="1BE52FF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6E3E5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1319404" w14:textId="1F88A960" w:rsidR="004F6DF2" w:rsidRPr="004F6DF2" w:rsidRDefault="00BA535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u iznosu od 1.451.075,56 eur , odnose se na službena putovanja i ostale naknade za zaposlene, uredski materijal, energija ,sitan inventar, razne usluge održavanja, promidžbe , telefon, pošta, prijevoz, komunalne usluge , naknade za rad upravnog vijeća, reprezentacija, članarine- domaće Zajednica lučkih uprava, međunarodne Medcruise i Aivp. Kod materijalnih rashoda bilježimo povećanje u odnosu na prethodnu godinu zbog organizacije Adriatic see foruma koji se održao u Dubrovniku 2023. godine.</w:t>
      </w:r>
    </w:p>
    <w:p w14:paraId="060830ED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3DAE2D0E" w14:textId="2CB0F221" w:rsidR="004F6DF2" w:rsidRPr="00036DEE" w:rsidRDefault="00A5025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Financijski rashodi u iznosu od 558,65 eur odnose se na troškove Fine i zatezne kamate.</w:t>
      </w:r>
    </w:p>
    <w:p w14:paraId="5E0346D5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3EC13491" w14:textId="7FA9E35B" w:rsidR="00036DEE" w:rsidRDefault="00A5025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Nema </w:t>
      </w:r>
    </w:p>
    <w:p w14:paraId="150A7AB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118D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127C9F59" w14:textId="0EC7864A" w:rsidR="00036DEE" w:rsidRDefault="00A50257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1F9CC0F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7163429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79B1D1B0" w14:textId="7402FFE3" w:rsidR="004F6DF2" w:rsidRPr="00036DEE" w:rsidRDefault="00DF5D2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djeci umrlog radnika za školovanje do 15.godine života odnosno do završetka osnovnoškolskog obrazovanja u iznosu od 929,08 eur.</w:t>
      </w:r>
    </w:p>
    <w:p w14:paraId="35C642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33ADC6DC" w14:textId="321FACD7" w:rsidR="004F6DF2" w:rsidRPr="00036DEE" w:rsidRDefault="008E04C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35.000,00 eur su tekuće donacije u novcu koje su povećane zbog povećanog broja zahtjeva.</w:t>
      </w:r>
    </w:p>
    <w:p w14:paraId="2CB2C54F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2797AFE4" w14:textId="25A79D41" w:rsidR="004F6DF2" w:rsidRPr="00036DEE" w:rsidRDefault="00562C5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neproizvedene dugotrajne imovine odnose se na nabavku dviju studija u vrijednosti 13.625,00 eur, Studija priobalno napajanje električnom energijom nekonvencionalnih potrošača u luci Dubrovnik-Gruž i Studija opravdanosti koncesija na zahtjev.</w:t>
      </w:r>
    </w:p>
    <w:p w14:paraId="0143816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186CF2D0" w14:textId="77777777" w:rsidR="00DA318F" w:rsidRPr="00DA318F" w:rsidRDefault="00DA318F" w:rsidP="00DA31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60"/>
        <w:rPr>
          <w:rFonts w:ascii="Times New Roman" w:hAnsi="Times New Roman" w:cs="Times New Roman"/>
          <w:sz w:val="24"/>
          <w:szCs w:val="24"/>
        </w:rPr>
      </w:pPr>
      <w:r w:rsidRPr="00DA318F">
        <w:rPr>
          <w:rFonts w:ascii="Times New Roman" w:hAnsi="Times New Roman" w:cs="Times New Roman"/>
          <w:sz w:val="24"/>
          <w:szCs w:val="24"/>
        </w:rPr>
        <w:t>Na proizvedenu dugotrajnu imovinu utrošeno je ukupno 625.590,11 eur. Zamjena rasvjetnih tijela vanjske rasvjete LED tehnologijom 314.692,98 eur, ulaganje u operativnu obalu ( oblaganje kamenom ogradnog zida i zamjena poklopnica na vezovima 4-9) 196.547,60 eur, radovi na trafostanici 6.290,25 eur, izrada i montaža 3 komada kućica za graničnu kontrolu 100.296,73 eur, nabava dva računala, laptopa i pisača u vrijednosti od 5.455,00 eur, nabava ormara i pet stolica 1329,19 eur, dva mobilna uređaja  605,18 eur i jedan hladnjak 373,18 eur.</w:t>
      </w:r>
    </w:p>
    <w:p w14:paraId="5D64C93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7E884DE5" w14:textId="084AEE1A" w:rsidR="00036DEE" w:rsidRDefault="007D65BF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E214140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D12637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120D8B98" w14:textId="1B45A066" w:rsidR="00743D8D" w:rsidRDefault="00743D8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819C8BA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0365B5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605AF54A" w14:textId="0D35713F" w:rsidR="00036DEE" w:rsidRDefault="00743D8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C810C2D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BCCA3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6EA6EF88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4013CB" w14:textId="6838B46E" w:rsidR="004F6DF2" w:rsidRDefault="0002037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6440F10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0C02BB1F" w14:textId="77777777" w:rsidR="000D58E1" w:rsidRDefault="000D58E1" w:rsidP="00036DEE">
      <w:pPr>
        <w:pStyle w:val="Heading1"/>
      </w:pPr>
      <w:bookmarkStart w:id="6" w:name="_Toc128989460"/>
      <w:r w:rsidRPr="00614260">
        <w:t>B I LJ E Š K E  U Z  O B R A Z A C  P – V R I O</w:t>
      </w:r>
      <w:bookmarkEnd w:id="6"/>
    </w:p>
    <w:p w14:paraId="5FD153B9" w14:textId="77777777" w:rsidR="004F6DF2" w:rsidRPr="004F6DF2" w:rsidRDefault="004F6DF2" w:rsidP="004F6DF2"/>
    <w:p w14:paraId="7C85DAA3" w14:textId="77777777" w:rsidR="000D58E1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362197C7" w14:textId="403B6589" w:rsidR="000D58E1" w:rsidRDefault="00C9090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1C86AC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B665E9" w14:textId="77777777" w:rsidR="002F6EF6" w:rsidRDefault="002F6EF6" w:rsidP="00036DEE">
      <w:pPr>
        <w:pStyle w:val="Heading1"/>
      </w:pPr>
      <w:bookmarkStart w:id="7" w:name="_Toc128989461"/>
    </w:p>
    <w:p w14:paraId="307065E6" w14:textId="77777777" w:rsidR="002F6EF6" w:rsidRDefault="002F6EF6" w:rsidP="002F6EF6"/>
    <w:p w14:paraId="6302029E" w14:textId="77777777" w:rsidR="002F6EF6" w:rsidRDefault="002F6EF6" w:rsidP="002F6EF6"/>
    <w:p w14:paraId="5F2B4DF9" w14:textId="77777777" w:rsidR="002F6EF6" w:rsidRDefault="002F6EF6" w:rsidP="002F6EF6"/>
    <w:p w14:paraId="1B5B3CD9" w14:textId="77777777" w:rsidR="002F6EF6" w:rsidRPr="002F6EF6" w:rsidRDefault="002F6EF6" w:rsidP="002F6EF6"/>
    <w:p w14:paraId="163A202F" w14:textId="77777777" w:rsidR="000D58E1" w:rsidRPr="00614260" w:rsidRDefault="00005934" w:rsidP="00036DEE">
      <w:pPr>
        <w:pStyle w:val="Heading1"/>
      </w:pPr>
      <w:r w:rsidRPr="00614260">
        <w:t>R A S – f u n k c i j s k i</w:t>
      </w:r>
      <w:bookmarkEnd w:id="7"/>
    </w:p>
    <w:p w14:paraId="4EF16C43" w14:textId="77777777" w:rsidR="000D58E1" w:rsidRDefault="00D91326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24AE9493" w14:textId="3AFEE3A3" w:rsidR="004F6DF2" w:rsidRDefault="007771E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Ekonomski poslovi</w:t>
      </w:r>
      <w:r w:rsidR="00795D1A">
        <w:rPr>
          <w:rFonts w:ascii="Times New Roman" w:hAnsi="Times New Roman" w:cs="Times New Roman"/>
          <w:sz w:val="24"/>
          <w:szCs w:val="24"/>
        </w:rPr>
        <w:t xml:space="preserve"> odnose se na promet vodeni putevima </w:t>
      </w:r>
      <w:r>
        <w:rPr>
          <w:rFonts w:ascii="Times New Roman" w:hAnsi="Times New Roman" w:cs="Times New Roman"/>
          <w:sz w:val="24"/>
          <w:szCs w:val="24"/>
        </w:rPr>
        <w:t xml:space="preserve"> u iznosu od 2.923.541,33 </w:t>
      </w:r>
      <w:r w:rsidR="00795D1A">
        <w:rPr>
          <w:rFonts w:ascii="Times New Roman" w:hAnsi="Times New Roman" w:cs="Times New Roman"/>
          <w:sz w:val="24"/>
          <w:szCs w:val="24"/>
        </w:rPr>
        <w:t>eur</w:t>
      </w:r>
    </w:p>
    <w:p w14:paraId="26FA22D7" w14:textId="77777777" w:rsidR="00F60FC9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869176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3D872F56" w14:textId="6366E67C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62FDD6C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4E3047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180B782E" w14:textId="5F6FC180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klasifikaciji, promet vodenim putevima u iznosu 2.923.451,33 eur</w:t>
      </w:r>
    </w:p>
    <w:p w14:paraId="49ACCD1A" w14:textId="77777777" w:rsidR="00F60FC9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0E4266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3D15F3AF" w14:textId="7283166D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E3255FF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19CDCF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44F9648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9353B5" w14:textId="613C65ED" w:rsidR="004F6DF2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64FF2277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2ADA15A9" w14:textId="3AA3FE5D" w:rsidR="000D58E1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B7DB37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05B73A3" w14:textId="77777777" w:rsidR="0069302A" w:rsidRPr="00614260" w:rsidRDefault="000D58E1" w:rsidP="00036DEE">
      <w:pPr>
        <w:pStyle w:val="Heading1"/>
      </w:pPr>
      <w:bookmarkStart w:id="8" w:name="_Toc128989462"/>
      <w:r w:rsidRPr="00614260">
        <w:t>B I LJ E Š K E  U Z  O B R A Z A C  O B V E Z E</w:t>
      </w:r>
      <w:bookmarkEnd w:id="8"/>
    </w:p>
    <w:p w14:paraId="7F701B03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0AC94A63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67377B06" w14:textId="783F427C" w:rsidR="004F6DF2" w:rsidRDefault="00091DB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je 187.973,3</w:t>
      </w:r>
      <w:r w:rsidR="00680B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67784D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2F5EDB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2E56C6FC" w14:textId="75CF23A6" w:rsidR="004F6DF2" w:rsidRDefault="00091DB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je 15.531,90 eur</w:t>
      </w:r>
      <w:r w:rsidR="005140F3">
        <w:rPr>
          <w:rFonts w:ascii="Times New Roman" w:hAnsi="Times New Roman" w:cs="Times New Roman"/>
          <w:sz w:val="24"/>
          <w:szCs w:val="24"/>
        </w:rPr>
        <w:t>.</w:t>
      </w:r>
    </w:p>
    <w:p w14:paraId="521C79B4" w14:textId="5B32411C" w:rsidR="004F6DF2" w:rsidRPr="004F6DF2" w:rsidRDefault="005140F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Prekoračenja od 1-60 dana odnosi se na račune kojima je dospijeće u prosincu 2023. godine, a plaćeni su u 2024. godini. Prekoračenje od 61-180 dana je račun Zajednice Lučkih uprava koji je dostavljen tek u prosincu za rujan u iznosu od 2.389,01 eur, i dio računa od Luke Dubrovnik koji je greškom manje uplaćen za 18,00 eur. Prekoračenje preko 360 dana je jedan račun Od Vodovoda koji je sporan, te je u procesu rješavanja.</w:t>
      </w:r>
    </w:p>
    <w:p w14:paraId="2975C529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39E05CAE" w14:textId="01295AF7" w:rsidR="004F6DF2" w:rsidRDefault="00D803A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 obveza na kraju izvještajnog razdoblja u iznosu od 172.441,4</w:t>
      </w:r>
      <w:r w:rsidR="00680B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eur, odnosi se na plać</w:t>
      </w:r>
      <w:r w:rsidR="001A7A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prosinac 2023. godine koja je isplaćena u siječnju 2024. godine i na račune za prosinac 2023. godine kojima je dospijeće u siječnju 2024. godine.</w:t>
      </w:r>
    </w:p>
    <w:sectPr w:rsidR="004F6DF2" w:rsidSect="006701C0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0A43" w14:textId="77777777" w:rsidR="006701C0" w:rsidRDefault="006701C0" w:rsidP="00CC75C5">
      <w:pPr>
        <w:spacing w:after="0" w:line="240" w:lineRule="auto"/>
      </w:pPr>
      <w:r>
        <w:separator/>
      </w:r>
    </w:p>
  </w:endnote>
  <w:endnote w:type="continuationSeparator" w:id="0">
    <w:p w14:paraId="10E0ABD5" w14:textId="77777777" w:rsidR="006701C0" w:rsidRDefault="006701C0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768881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F90DB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7F2D" w14:textId="77777777" w:rsidR="006701C0" w:rsidRDefault="006701C0" w:rsidP="00CC75C5">
      <w:pPr>
        <w:spacing w:after="0" w:line="240" w:lineRule="auto"/>
      </w:pPr>
      <w:r>
        <w:separator/>
      </w:r>
    </w:p>
  </w:footnote>
  <w:footnote w:type="continuationSeparator" w:id="0">
    <w:p w14:paraId="7B81C2A5" w14:textId="77777777" w:rsidR="006701C0" w:rsidRDefault="006701C0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4768072">
    <w:abstractNumId w:val="2"/>
  </w:num>
  <w:num w:numId="2" w16cid:durableId="1470636580">
    <w:abstractNumId w:val="3"/>
  </w:num>
  <w:num w:numId="3" w16cid:durableId="1098059945">
    <w:abstractNumId w:val="1"/>
  </w:num>
  <w:num w:numId="4" w16cid:durableId="1108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20376"/>
    <w:rsid w:val="00036DEE"/>
    <w:rsid w:val="000376B3"/>
    <w:rsid w:val="00057FE7"/>
    <w:rsid w:val="00064C4E"/>
    <w:rsid w:val="00091DBE"/>
    <w:rsid w:val="000A0ED1"/>
    <w:rsid w:val="000C01F8"/>
    <w:rsid w:val="000D58E1"/>
    <w:rsid w:val="00157DB8"/>
    <w:rsid w:val="00170E21"/>
    <w:rsid w:val="001822EF"/>
    <w:rsid w:val="001A7A9D"/>
    <w:rsid w:val="001B57D8"/>
    <w:rsid w:val="001D4818"/>
    <w:rsid w:val="002B0780"/>
    <w:rsid w:val="002F6EF6"/>
    <w:rsid w:val="00301E80"/>
    <w:rsid w:val="00355027"/>
    <w:rsid w:val="003970FA"/>
    <w:rsid w:val="003F3438"/>
    <w:rsid w:val="004041CE"/>
    <w:rsid w:val="004159D8"/>
    <w:rsid w:val="004517C4"/>
    <w:rsid w:val="004730D3"/>
    <w:rsid w:val="004B4147"/>
    <w:rsid w:val="004F6DF2"/>
    <w:rsid w:val="005140F3"/>
    <w:rsid w:val="00562C5D"/>
    <w:rsid w:val="00583658"/>
    <w:rsid w:val="005E109F"/>
    <w:rsid w:val="005F6BAE"/>
    <w:rsid w:val="00613C1B"/>
    <w:rsid w:val="00614260"/>
    <w:rsid w:val="00642A75"/>
    <w:rsid w:val="006470D0"/>
    <w:rsid w:val="006701C0"/>
    <w:rsid w:val="00680392"/>
    <w:rsid w:val="00680BFD"/>
    <w:rsid w:val="0069302A"/>
    <w:rsid w:val="006A7AD0"/>
    <w:rsid w:val="00743D8D"/>
    <w:rsid w:val="007771E7"/>
    <w:rsid w:val="0078278B"/>
    <w:rsid w:val="00795D1A"/>
    <w:rsid w:val="00797B90"/>
    <w:rsid w:val="007D65BF"/>
    <w:rsid w:val="007E53CC"/>
    <w:rsid w:val="00861409"/>
    <w:rsid w:val="008A5F7F"/>
    <w:rsid w:val="008B1C9D"/>
    <w:rsid w:val="008E04CE"/>
    <w:rsid w:val="00914103"/>
    <w:rsid w:val="00927E04"/>
    <w:rsid w:val="00A50257"/>
    <w:rsid w:val="00A862C3"/>
    <w:rsid w:val="00B7618B"/>
    <w:rsid w:val="00BA5352"/>
    <w:rsid w:val="00BE3DCD"/>
    <w:rsid w:val="00BF169F"/>
    <w:rsid w:val="00C11D42"/>
    <w:rsid w:val="00C81700"/>
    <w:rsid w:val="00C90901"/>
    <w:rsid w:val="00C92255"/>
    <w:rsid w:val="00CC75C5"/>
    <w:rsid w:val="00D649D7"/>
    <w:rsid w:val="00D803A3"/>
    <w:rsid w:val="00D91326"/>
    <w:rsid w:val="00DA318F"/>
    <w:rsid w:val="00DF5D26"/>
    <w:rsid w:val="00E17893"/>
    <w:rsid w:val="00EC5633"/>
    <w:rsid w:val="00F04903"/>
    <w:rsid w:val="00F2541C"/>
    <w:rsid w:val="00F60FC9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504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Zrinka Raguž</cp:lastModifiedBy>
  <cp:revision>48</cp:revision>
  <dcterms:created xsi:type="dcterms:W3CDTF">2024-01-09T11:44:00Z</dcterms:created>
  <dcterms:modified xsi:type="dcterms:W3CDTF">2024-02-09T12:02:00Z</dcterms:modified>
</cp:coreProperties>
</file>