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2B219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32"/>
          <w14:ligatures w14:val="none"/>
        </w:rPr>
      </w:pPr>
      <w:bookmarkStart w:id="0" w:name="_Toc431893367"/>
      <w:bookmarkStart w:id="1" w:name="_Toc504410286"/>
    </w:p>
    <w:p w14:paraId="17C76FBB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2"/>
          <w:szCs w:val="2"/>
          <w14:ligatures w14:val="none"/>
        </w:rPr>
      </w:pPr>
    </w:p>
    <w:p w14:paraId="59161C25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32"/>
          <w14:ligatures w14:val="none"/>
        </w:rPr>
      </w:pPr>
      <w:r w:rsidRPr="006F2BB0">
        <w:rPr>
          <w:rFonts w:ascii="Calibri" w:eastAsia="Times New Roman" w:hAnsi="Calibri" w:cs="Times New Roman"/>
          <w:noProof/>
          <w:kern w:val="0"/>
          <w:lang w:eastAsia="hr-HR"/>
          <w14:ligatures w14:val="none"/>
        </w:rPr>
        <w:drawing>
          <wp:inline distT="0" distB="0" distL="0" distR="0" wp14:anchorId="1D6E2037" wp14:editId="424B9C49">
            <wp:extent cx="2438400" cy="2410210"/>
            <wp:effectExtent l="0" t="0" r="0" b="0"/>
            <wp:docPr id="1" name="Picture 1" descr="A round logo with a boat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ound logo with a boat in the mid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46" cy="243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24C3C" w14:textId="77777777" w:rsidR="006F2BB0" w:rsidRPr="006F2BB0" w:rsidRDefault="006F2BB0" w:rsidP="006F2BB0">
      <w:pPr>
        <w:spacing w:after="200" w:line="276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43E35AE9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2"/>
          <w:szCs w:val="2"/>
          <w14:ligatures w14:val="none"/>
        </w:rPr>
      </w:pPr>
    </w:p>
    <w:p w14:paraId="04237091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</w:pPr>
      <w:r w:rsidRPr="006F2BB0"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  <w:t xml:space="preserve">DOKUMENTACIJA </w:t>
      </w:r>
      <w:bookmarkEnd w:id="0"/>
      <w:r w:rsidRPr="006F2BB0"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  <w:t>O NABAVI</w:t>
      </w:r>
      <w:bookmarkEnd w:id="1"/>
    </w:p>
    <w:p w14:paraId="5EA22EEF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2"/>
          <w:szCs w:val="2"/>
          <w14:ligatures w14:val="none"/>
        </w:rPr>
      </w:pPr>
    </w:p>
    <w:p w14:paraId="0EEF72E0" w14:textId="77777777" w:rsidR="006F2BB0" w:rsidRDefault="006F2BB0" w:rsidP="006F2BB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14:ligatures w14:val="none"/>
        </w:rPr>
      </w:pPr>
      <w:bookmarkStart w:id="2" w:name="_Toc431893368"/>
      <w:bookmarkStart w:id="3" w:name="_Toc504410287"/>
      <w:r w:rsidRPr="006F2BB0">
        <w:rPr>
          <w:rFonts w:ascii="Arial" w:eastAsia="Times New Roman" w:hAnsi="Arial" w:cs="Arial"/>
          <w:b/>
          <w:kern w:val="0"/>
          <w14:ligatures w14:val="none"/>
        </w:rPr>
        <w:t>OTVORENI POSTUPAK JAVNE NABAVE USLUGA VELIKE VRIJEDNOSTI</w:t>
      </w:r>
    </w:p>
    <w:p w14:paraId="68F8FD92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751CE224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0DD91B19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4562A0A3" w14:textId="7D69261E" w:rsidR="006F2BB0" w:rsidRPr="006F2BB0" w:rsidRDefault="006F2BB0" w:rsidP="006F2BB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</w:pPr>
      <w:r w:rsidRPr="006F2BB0"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  <w:t>TEHNIČKE SPECIFIKACIJE PREDMETA NABAVE</w:t>
      </w:r>
    </w:p>
    <w:bookmarkEnd w:id="2"/>
    <w:bookmarkEnd w:id="3"/>
    <w:p w14:paraId="1316AC02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60D09416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434E1984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67D177C8" w14:textId="77777777" w:rsidR="006F2BB0" w:rsidRPr="006F2BB0" w:rsidRDefault="006F2BB0" w:rsidP="006F2BB0">
      <w:pPr>
        <w:spacing w:after="0" w:line="240" w:lineRule="auto"/>
        <w:ind w:left="2410" w:hanging="2410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  <w:r w:rsidRPr="006F2BB0"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  <w:t xml:space="preserve">Predmet nabave: </w:t>
      </w:r>
      <w:bookmarkStart w:id="4" w:name="_Hlk12942861"/>
      <w:r w:rsidRPr="006F2BB0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Usluge stacioniranja tegljača u luci Dubrovnik (Gruž) radi usluga tegljenja za razdoblje 24 mjeseca</w:t>
      </w:r>
    </w:p>
    <w:bookmarkEnd w:id="4"/>
    <w:p w14:paraId="69ED1031" w14:textId="77777777" w:rsidR="006F2BB0" w:rsidRPr="006F2BB0" w:rsidRDefault="006F2BB0" w:rsidP="006F2BB0">
      <w:pPr>
        <w:adjustRightInd w:val="0"/>
        <w:spacing w:after="20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"/>
          <w:szCs w:val="2"/>
          <w:lang w:eastAsia="hr-HR"/>
          <w14:ligatures w14:val="none"/>
        </w:rPr>
      </w:pPr>
    </w:p>
    <w:p w14:paraId="46930E27" w14:textId="4CC6DE09" w:rsidR="006F2BB0" w:rsidRPr="006F2BB0" w:rsidRDefault="006F2BB0" w:rsidP="006F2B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kern w:val="0"/>
          <w:lang w:eastAsia="hr-HR"/>
          <w14:ligatures w14:val="none"/>
        </w:rPr>
      </w:pPr>
      <w:bookmarkStart w:id="5" w:name="_Toc431893369"/>
      <w:r w:rsidRPr="006F2BB0">
        <w:rPr>
          <w:rFonts w:ascii="Arial" w:eastAsia="Calibri" w:hAnsi="Arial" w:cs="Arial"/>
          <w:b/>
          <w:color w:val="000000"/>
          <w:kern w:val="0"/>
          <w:lang w:eastAsia="hr-HR"/>
          <w14:ligatures w14:val="none"/>
        </w:rPr>
        <w:t xml:space="preserve">Evidencijski broj nabave: </w:t>
      </w:r>
      <w:bookmarkEnd w:id="5"/>
      <w:r w:rsidRPr="006F2BB0">
        <w:rPr>
          <w:rFonts w:ascii="Arial" w:eastAsia="Calibri" w:hAnsi="Arial" w:cs="Arial"/>
          <w:b/>
          <w:kern w:val="0"/>
          <w:lang w:eastAsia="hr-HR"/>
          <w14:ligatures w14:val="none"/>
        </w:rPr>
        <w:t>NVV-</w:t>
      </w:r>
      <w:r>
        <w:rPr>
          <w:rFonts w:ascii="Arial" w:eastAsia="Calibri" w:hAnsi="Arial" w:cs="Arial"/>
          <w:b/>
          <w:kern w:val="0"/>
          <w:lang w:eastAsia="hr-HR"/>
          <w14:ligatures w14:val="none"/>
        </w:rPr>
        <w:t>01</w:t>
      </w:r>
      <w:r w:rsidRPr="006F2BB0">
        <w:rPr>
          <w:rFonts w:ascii="Arial" w:eastAsia="Calibri" w:hAnsi="Arial" w:cs="Arial"/>
          <w:b/>
          <w:kern w:val="0"/>
          <w:lang w:eastAsia="hr-HR"/>
          <w14:ligatures w14:val="none"/>
        </w:rPr>
        <w:t>/202</w:t>
      </w:r>
      <w:r>
        <w:rPr>
          <w:rFonts w:ascii="Arial" w:eastAsia="Calibri" w:hAnsi="Arial" w:cs="Arial"/>
          <w:b/>
          <w:kern w:val="0"/>
          <w:lang w:eastAsia="hr-HR"/>
          <w14:ligatures w14:val="none"/>
        </w:rPr>
        <w:t>4</w:t>
      </w:r>
    </w:p>
    <w:p w14:paraId="1292CCA8" w14:textId="77777777" w:rsid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both"/>
        <w:outlineLvl w:val="0"/>
        <w:rPr>
          <w:rFonts w:ascii="Arial" w:eastAsia="Times New Roman" w:hAnsi="Arial" w:cs="Arial"/>
          <w:kern w:val="0"/>
          <w14:ligatures w14:val="none"/>
        </w:rPr>
      </w:pPr>
    </w:p>
    <w:p w14:paraId="31D0F591" w14:textId="77777777" w:rsidR="006F2BB0" w:rsidRP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both"/>
        <w:outlineLvl w:val="0"/>
        <w:rPr>
          <w:rFonts w:ascii="Arial" w:eastAsia="Times New Roman" w:hAnsi="Arial" w:cs="Arial"/>
          <w:kern w:val="0"/>
          <w14:ligatures w14:val="none"/>
        </w:rPr>
      </w:pPr>
    </w:p>
    <w:p w14:paraId="24C1FE62" w14:textId="4A1A5336" w:rsidR="006F2BB0" w:rsidRP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center"/>
        <w:outlineLvl w:val="0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6F2BB0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Dubrovnik, studeni 202</w:t>
      </w:r>
      <w:r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4</w:t>
      </w:r>
      <w:r w:rsidRPr="006F2BB0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.</w:t>
      </w:r>
    </w:p>
    <w:p w14:paraId="4148B5AA" w14:textId="77777777" w:rsidR="006F2BB0" w:rsidRPr="006F2BB0" w:rsidRDefault="006F2BB0" w:rsidP="006F2BB0">
      <w:pPr>
        <w:spacing w:after="0" w:line="240" w:lineRule="auto"/>
        <w:rPr>
          <w:rFonts w:ascii="Arial" w:eastAsia="Times New Roman" w:hAnsi="Arial" w:cs="Arial"/>
          <w:kern w:val="0"/>
          <w:sz w:val="32"/>
          <w:lang w:eastAsia="hr-HR"/>
          <w14:ligatures w14:val="none"/>
        </w:rPr>
      </w:pPr>
      <w:r w:rsidRPr="006F2BB0">
        <w:rPr>
          <w:rFonts w:ascii="Arial" w:eastAsia="Times New Roman" w:hAnsi="Arial" w:cs="Arial"/>
          <w:kern w:val="0"/>
          <w:sz w:val="32"/>
          <w:lang w:eastAsia="hr-HR"/>
          <w14:ligatures w14:val="none"/>
        </w:rPr>
        <w:br w:type="page"/>
      </w:r>
    </w:p>
    <w:p w14:paraId="2D2FBE36" w14:textId="77777777" w:rsidR="006F2BB0" w:rsidRDefault="006F2BB0"/>
    <w:p w14:paraId="1CE50CA0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  <w:r w:rsidRPr="006F2BB0">
        <w:rPr>
          <w:rFonts w:ascii="Arial" w:eastAsia="Times New Roman" w:hAnsi="Arial" w:cs="Arial"/>
          <w:bCs/>
          <w:iCs/>
          <w:kern w:val="0"/>
          <w:szCs w:val="24"/>
          <w14:ligatures w14:val="none"/>
        </w:rPr>
        <w:t>Za izvršenje navedene usluge potrebno je osigurati stalnu prisutnost minimalno jednog (1) tegljača u luci Dubrovnik, koji trebaju imati vučnu silu (Bollard Pull) od minimum 14 tona (140 kN) i koji mora posjedovati protupožarni sistem (gašenje vodom i pjenom).</w:t>
      </w:r>
    </w:p>
    <w:p w14:paraId="42FED8A1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</w:p>
    <w:p w14:paraId="1A222062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  <w:r w:rsidRPr="006F2BB0">
        <w:rPr>
          <w:rFonts w:ascii="Arial" w:eastAsia="Times New Roman" w:hAnsi="Arial" w:cs="Arial"/>
          <w:bCs/>
          <w:iCs/>
          <w:kern w:val="0"/>
          <w:szCs w:val="24"/>
          <w14:ligatures w14:val="none"/>
        </w:rPr>
        <w:t>Tegljač će biti stacionirani unutar lučkog područja luke Dubrovnik i pružati usluge lučkog tegljenja kada to zatraže zapovjednici brodova koji manevriraju unutar akvatorija luke i/ili njenih prilaza.</w:t>
      </w:r>
    </w:p>
    <w:p w14:paraId="5BAF9823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</w:p>
    <w:p w14:paraId="1B28878D" w14:textId="2217F4BD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  <w:r w:rsidRPr="006F2BB0">
        <w:rPr>
          <w:rFonts w:ascii="Arial" w:eastAsia="Times New Roman" w:hAnsi="Arial" w:cs="Arial"/>
          <w:bCs/>
          <w:iCs/>
          <w:kern w:val="0"/>
          <w:szCs w:val="24"/>
          <w14:ligatures w14:val="none"/>
        </w:rPr>
        <w:t>Naknada za uslugu pripravnosti (stand by aranžmana) vozarine ne obuhvaća pružanje usluge tegljenja, već se samo odnosi na boravak brodova na vezu u stanju pripravnosti (stand by aranžman).Naknada i rizik usluge tegljenja predstavlja poseban poslovni odnos između tegljača i tegljenog broda.</w:t>
      </w:r>
    </w:p>
    <w:p w14:paraId="27F3ADEA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</w:p>
    <w:p w14:paraId="773ADB99" w14:textId="0C14A98A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  <w:r w:rsidRPr="006F2BB0">
        <w:rPr>
          <w:rFonts w:ascii="Arial" w:eastAsia="Times New Roman" w:hAnsi="Arial" w:cs="Arial"/>
          <w:bCs/>
          <w:iCs/>
          <w:kern w:val="0"/>
          <w:szCs w:val="24"/>
          <w14:ligatures w14:val="none"/>
        </w:rPr>
        <w:t>Troškove sudjelovanja tegljača u SAR operacijama, ukoliko ih bude, snosi nalogodavac operacije.Lučka uprava Dubrovnik ima pravo na  prihod u visini od 3%  ostvarenih prihoda od pružanja usluga tegljenja na lučkom području luke Dubrovnik (bez PDV-a). Za potrebe obračuna navedenog prihoda Lučke uprave Dubrovnik, odabrani pružatelj usluga u obvezi je kvartalno dostavljati podatke o broju pruženih usluga tegljenja i ostvarenim prihodima na lučkom području luke Dubrovnik.</w:t>
      </w:r>
    </w:p>
    <w:p w14:paraId="28076436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Cs/>
          <w:iCs/>
          <w:kern w:val="0"/>
          <w:szCs w:val="24"/>
          <w14:ligatures w14:val="none"/>
        </w:rPr>
      </w:pPr>
      <w:r w:rsidRPr="006F2BB0">
        <w:rPr>
          <w:rFonts w:ascii="Arial" w:eastAsia="Times New Roman" w:hAnsi="Arial" w:cs="Arial"/>
          <w:bCs/>
          <w:iCs/>
          <w:kern w:val="0"/>
          <w:szCs w:val="24"/>
          <w14:ligatures w14:val="none"/>
        </w:rPr>
        <w:t>Tegljačima će se omogućiti besplatni elektroenergetski priključci na kopnenu mrežu, kao i oslobođenje plaćanja utroška električne energije, vode i ležarine.</w:t>
      </w:r>
    </w:p>
    <w:p w14:paraId="3E9C2730" w14:textId="77777777" w:rsidR="006F2BB0" w:rsidRPr="006F2BB0" w:rsidRDefault="006F2BB0" w:rsidP="006F2BB0">
      <w:pPr>
        <w:spacing w:after="20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6F2BB0">
        <w:rPr>
          <w:rFonts w:ascii="Arial" w:eastAsia="Times New Roman" w:hAnsi="Arial" w:cs="Arial"/>
          <w:kern w:val="0"/>
          <w14:ligatures w14:val="none"/>
        </w:rPr>
        <w:t>Tegljač treba biti opremljen vodenim protupožarnim topom za gašenje zapaljivih tekućina i ostalih požara.</w:t>
      </w:r>
    </w:p>
    <w:p w14:paraId="07981F6D" w14:textId="77777777" w:rsidR="006F2BB0" w:rsidRPr="006F2BB0" w:rsidRDefault="006F2BB0" w:rsidP="006F2BB0">
      <w:pPr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  <w:bookmarkStart w:id="6" w:name="_Hlk66694024"/>
      <w:r w:rsidRPr="006F2BB0">
        <w:rPr>
          <w:rFonts w:ascii="Arial" w:eastAsia="Times New Roman" w:hAnsi="Arial" w:cs="Arial"/>
          <w:kern w:val="0"/>
          <w14:ligatures w14:val="none"/>
        </w:rPr>
        <w:t>Uz ponudu sa imenom tegljača ponuđač mora podnijeti slijedeće dokumente:</w:t>
      </w:r>
    </w:p>
    <w:p w14:paraId="71FA5AE8" w14:textId="77777777" w:rsidR="006F2BB0" w:rsidRPr="006F2BB0" w:rsidRDefault="006F2BB0" w:rsidP="006F2BB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Kopije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brodskih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isprava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o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sposobnosti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broda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za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plovidbu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iz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kojih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je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vidljiv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datum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njihove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valjanosti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zadnji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godišnji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pregled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gdje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je to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primjenjivo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>,</w:t>
      </w:r>
    </w:p>
    <w:p w14:paraId="2C7E6CF8" w14:textId="77777777" w:rsidR="006F2BB0" w:rsidRPr="006F2BB0" w:rsidRDefault="006F2BB0" w:rsidP="006F2BB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  <w:kern w:val="0"/>
          <w:lang w:val="en-US"/>
          <w14:ligatures w14:val="none"/>
        </w:rPr>
      </w:pPr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Kopija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upisnog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lista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>,</w:t>
      </w:r>
    </w:p>
    <w:p w14:paraId="09273526" w14:textId="77777777" w:rsidR="006F2BB0" w:rsidRPr="006F2BB0" w:rsidRDefault="006F2BB0" w:rsidP="006F2BB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  <w:kern w:val="0"/>
          <w:lang w:val="en-US"/>
          <w14:ligatures w14:val="none"/>
        </w:rPr>
      </w:pPr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Kopija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dokumenata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o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testiranju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kuke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za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tegljenje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>,</w:t>
      </w:r>
    </w:p>
    <w:p w14:paraId="402E981F" w14:textId="77777777" w:rsidR="006F2BB0" w:rsidRPr="006F2BB0" w:rsidRDefault="006F2BB0" w:rsidP="006F2BB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Broj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osposobljenost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članova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posade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tegljača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sukladno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zakonskim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propisima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>,</w:t>
      </w:r>
    </w:p>
    <w:p w14:paraId="568EA245" w14:textId="77777777" w:rsidR="006F2BB0" w:rsidRPr="006F2BB0" w:rsidRDefault="006F2BB0" w:rsidP="006F2BB0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Calibri" w:hAnsi="Arial" w:cs="Arial"/>
          <w:kern w:val="0"/>
          <w:lang w:val="en-US"/>
          <w14:ligatures w14:val="none"/>
        </w:rPr>
      </w:pP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Tegljač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mora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imati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vučnu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silu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(Bollard pull) od minimum 14 </w:t>
      </w:r>
      <w:proofErr w:type="spellStart"/>
      <w:r w:rsidRPr="006F2BB0">
        <w:rPr>
          <w:rFonts w:ascii="Arial" w:eastAsia="Calibri" w:hAnsi="Arial" w:cs="Arial"/>
          <w:kern w:val="0"/>
          <w:lang w:val="en-US"/>
          <w14:ligatures w14:val="none"/>
        </w:rPr>
        <w:t>tona</w:t>
      </w:r>
      <w:proofErr w:type="spellEnd"/>
      <w:r w:rsidRPr="006F2BB0">
        <w:rPr>
          <w:rFonts w:ascii="Arial" w:eastAsia="Calibri" w:hAnsi="Arial" w:cs="Arial"/>
          <w:kern w:val="0"/>
          <w:lang w:val="en-US"/>
          <w14:ligatures w14:val="none"/>
        </w:rPr>
        <w:t xml:space="preserve"> (140kN).</w:t>
      </w:r>
    </w:p>
    <w:bookmarkEnd w:id="6"/>
    <w:p w14:paraId="38F41612" w14:textId="77777777" w:rsidR="006F2BB0" w:rsidRDefault="006F2BB0" w:rsidP="006F2BB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3EF74B22" w14:textId="77777777" w:rsidR="008C0FE4" w:rsidRPr="008C0FE4" w:rsidRDefault="008C0FE4" w:rsidP="008C0FE4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lang w:eastAsia="hr-HR"/>
          <w14:ligatures w14:val="none"/>
        </w:rPr>
      </w:pP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>S ponuditeljem čija ponuda bude odabrana sklopit će se okvirni sporazum na razdoblje od dvije godine.</w:t>
      </w:r>
    </w:p>
    <w:p w14:paraId="300A3E87" w14:textId="67DA050D" w:rsidR="008C0FE4" w:rsidRPr="008C0FE4" w:rsidRDefault="008C0FE4" w:rsidP="008C0FE4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lang w:eastAsia="hr-HR"/>
          <w14:ligatures w14:val="none"/>
        </w:rPr>
      </w:pP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>Očekivano potpisivanje okvirnog sporazuma i prvog pojedinačnog ugovora je 2. siječnja 202</w:t>
      </w:r>
      <w:r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>5</w:t>
      </w: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>.</w:t>
      </w:r>
      <w:r w:rsidRPr="008C0FE4">
        <w:rPr>
          <w:rFonts w:ascii="Times New Roman" w:eastAsia="Calibri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>Moguća su odstupanja od očekivanih datuma potpisivanja radi možebitnih ishoda postupaka javne nabave (žalbe, poništenja i sl.).</w:t>
      </w:r>
    </w:p>
    <w:p w14:paraId="140D9F75" w14:textId="77777777" w:rsidR="008C0FE4" w:rsidRPr="008C0FE4" w:rsidRDefault="008C0FE4" w:rsidP="008C0FE4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lang w:eastAsia="hr-HR"/>
          <w14:ligatures w14:val="none"/>
        </w:rPr>
      </w:pP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 xml:space="preserve">Za vrijeme trajanja okvirnog sporazuma naručitelj će s odabranim će ponuditeljem sklapati pojedinačne ugovore o javnoj nabavi usluge sukladno uvjetima iz okvirnog sporazuma. </w:t>
      </w:r>
    </w:p>
    <w:p w14:paraId="69AAF9E2" w14:textId="77777777" w:rsidR="008C0FE4" w:rsidRPr="008C0FE4" w:rsidRDefault="008C0FE4" w:rsidP="008C0FE4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lang w:eastAsia="hr-HR"/>
          <w14:ligatures w14:val="none"/>
        </w:rPr>
      </w:pPr>
      <w:r w:rsidRPr="008C0FE4">
        <w:rPr>
          <w:rFonts w:ascii="Arial" w:eastAsia="Calibri" w:hAnsi="Arial" w:cs="Arial"/>
          <w:bCs/>
          <w:iCs/>
          <w:kern w:val="0"/>
          <w:lang w:eastAsia="hr-HR"/>
          <w14:ligatures w14:val="none"/>
        </w:rPr>
        <w:t xml:space="preserve">Za vrijeme trajanja Okvirnog sporazuma naručitelj planira sklopiti dva godišnja ugovora o javnoj nabavi. Prvi ugovor sklopit će se za razdoblje od godinu dana (12 mjeseci) na temelju uvjeta iz ove Dokumentacije o nabavi, Okvirnog sporazuma i ponude odabranog ponuditelja. </w:t>
      </w:r>
    </w:p>
    <w:p w14:paraId="03E706A3" w14:textId="5F413DA6" w:rsidR="008C0FE4" w:rsidRDefault="008C0FE4" w:rsidP="008C0FE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8C0FE4">
        <w:rPr>
          <w:rFonts w:ascii="Arial" w:eastAsia="Times New Roman" w:hAnsi="Arial" w:cs="Arial"/>
          <w:bCs/>
          <w:iCs/>
          <w:kern w:val="0"/>
          <w14:ligatures w14:val="none"/>
        </w:rPr>
        <w:t>Preostali ugovori o javnoj nabavi planiraju se sklopiti na temelju pisanog zahtjeva naručitelja odabranom gospodarskom subjektu da dostavi novu ponudu. Pisani zahtjev može sadržavati osim izvornih, preciznije definirane uvjete te druge nebitne izmjene i dopune uvjeta okvirnog sporazuma koji su navedeni u dokumentaciji za nadmetanje kod okvirnog sporazuma</w:t>
      </w:r>
      <w:r w:rsidRPr="008C0FE4">
        <w:rPr>
          <w:rFonts w:ascii="Arial" w:eastAsia="Times New Roman" w:hAnsi="Arial" w:cs="Arial"/>
          <w:bCs/>
          <w:kern w:val="0"/>
          <w14:ligatures w14:val="none"/>
        </w:rPr>
        <w:t>.</w:t>
      </w:r>
    </w:p>
    <w:p w14:paraId="143E4D96" w14:textId="77777777" w:rsidR="008C0FE4" w:rsidRPr="006F2BB0" w:rsidRDefault="008C0FE4" w:rsidP="006F2BB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07EEE471" w14:textId="77777777" w:rsidR="006F2BB0" w:rsidRDefault="006F2BB0" w:rsidP="006F2BB0">
      <w:pPr>
        <w:pBdr>
          <w:bottom w:val="single" w:sz="4" w:space="1" w:color="auto"/>
        </w:pBdr>
      </w:pPr>
    </w:p>
    <w:sectPr w:rsidR="006F2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2D5CC8"/>
    <w:multiLevelType w:val="hybridMultilevel"/>
    <w:tmpl w:val="6A7800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10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F4"/>
    <w:rsid w:val="001312DE"/>
    <w:rsid w:val="006F2BB0"/>
    <w:rsid w:val="008C0FE4"/>
    <w:rsid w:val="00B67BF4"/>
    <w:rsid w:val="00B8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90BC"/>
  <w15:chartTrackingRefBased/>
  <w15:docId w15:val="{E1723A25-4C45-483E-A0B5-D794210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B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B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B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B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B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B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7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7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7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7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7B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7B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7B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B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7B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</dc:creator>
  <cp:keywords/>
  <dc:description/>
  <cp:lastModifiedBy>MARO</cp:lastModifiedBy>
  <cp:revision>3</cp:revision>
  <dcterms:created xsi:type="dcterms:W3CDTF">2024-11-04T10:59:00Z</dcterms:created>
  <dcterms:modified xsi:type="dcterms:W3CDTF">2024-11-04T11:04:00Z</dcterms:modified>
</cp:coreProperties>
</file>