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80" w:rsidRPr="00CB7865" w:rsidRDefault="00366B80" w:rsidP="00366B80">
      <w:pPr>
        <w:tabs>
          <w:tab w:val="left" w:pos="1134"/>
        </w:tabs>
        <w:ind w:left="-142" w:right="-947"/>
        <w:rPr>
          <w:rFonts w:ascii="Arial" w:hAnsi="Arial"/>
          <w:sz w:val="22"/>
          <w:szCs w:val="22"/>
        </w:rPr>
      </w:pPr>
      <w:r w:rsidRPr="00CB7865">
        <w:rPr>
          <w:rFonts w:ascii="Arial" w:hAnsi="Arial"/>
          <w:sz w:val="22"/>
          <w:szCs w:val="22"/>
        </w:rPr>
        <w:t>2.1.</w:t>
      </w:r>
      <w:r w:rsidRPr="00CB7865">
        <w:rPr>
          <w:rFonts w:ascii="Arial" w:hAnsi="Arial"/>
          <w:sz w:val="22"/>
          <w:szCs w:val="22"/>
        </w:rPr>
        <w:tab/>
        <w:t>Tehnički opis</w:t>
      </w:r>
    </w:p>
    <w:p w:rsidR="00366B80" w:rsidRDefault="00366B80" w:rsidP="00366B80">
      <w:pPr>
        <w:tabs>
          <w:tab w:val="left" w:pos="1134"/>
        </w:tabs>
        <w:ind w:left="-142" w:right="-947"/>
        <w:rPr>
          <w:rFonts w:ascii="Arial" w:hAnsi="Arial"/>
          <w:sz w:val="22"/>
          <w:szCs w:val="22"/>
        </w:rPr>
      </w:pPr>
    </w:p>
    <w:p w:rsidR="00366B80" w:rsidRPr="00CB7865" w:rsidRDefault="00366B80" w:rsidP="00366B80">
      <w:pPr>
        <w:tabs>
          <w:tab w:val="left" w:pos="1134"/>
        </w:tabs>
        <w:ind w:left="-142" w:right="-947"/>
        <w:rPr>
          <w:rFonts w:ascii="Arial" w:hAnsi="Arial"/>
          <w:sz w:val="22"/>
          <w:szCs w:val="22"/>
        </w:rPr>
      </w:pPr>
      <w:r w:rsidRPr="00CB7865">
        <w:rPr>
          <w:rFonts w:ascii="Arial" w:hAnsi="Arial"/>
          <w:sz w:val="22"/>
          <w:szCs w:val="22"/>
        </w:rPr>
        <w:t>2.1.1.</w:t>
      </w:r>
      <w:r w:rsidRPr="00CB7865">
        <w:rPr>
          <w:rFonts w:ascii="Arial" w:hAnsi="Arial"/>
          <w:sz w:val="22"/>
          <w:szCs w:val="22"/>
        </w:rPr>
        <w:tab/>
        <w:t xml:space="preserve">Općenito </w:t>
      </w:r>
    </w:p>
    <w:p w:rsidR="00366B80"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Temeljem zahtjeva investitora </w:t>
      </w:r>
      <w:r>
        <w:rPr>
          <w:rFonts w:ascii="Arial" w:hAnsi="Arial"/>
          <w:sz w:val="22"/>
          <w:szCs w:val="22"/>
        </w:rPr>
        <w:t xml:space="preserve">i zaključenog ugovora za izradu projekta pristupa se izradi glavnog projekta s </w:t>
      </w:r>
      <w:proofErr w:type="spellStart"/>
      <w:r>
        <w:rPr>
          <w:rFonts w:ascii="Arial" w:hAnsi="Arial"/>
          <w:sz w:val="22"/>
          <w:szCs w:val="22"/>
        </w:rPr>
        <w:t>troškovikom</w:t>
      </w:r>
      <w:proofErr w:type="spellEnd"/>
      <w:r>
        <w:rPr>
          <w:rFonts w:ascii="Arial" w:hAnsi="Arial"/>
          <w:sz w:val="22"/>
          <w:szCs w:val="22"/>
        </w:rPr>
        <w:t xml:space="preserve"> radova rekonstrukcije vanjske rasvjete cjelokupnog područja Luke Dubrovnik u Gružu, a u cilju modernizacije vanjske rasvjete, što </w:t>
      </w:r>
      <w:proofErr w:type="spellStart"/>
      <w:r>
        <w:rPr>
          <w:rFonts w:ascii="Arial" w:hAnsi="Arial"/>
          <w:sz w:val="22"/>
          <w:szCs w:val="22"/>
        </w:rPr>
        <w:t>podrazumjeva</w:t>
      </w:r>
      <w:proofErr w:type="spellEnd"/>
      <w:r>
        <w:rPr>
          <w:rFonts w:ascii="Arial" w:hAnsi="Arial"/>
          <w:sz w:val="22"/>
          <w:szCs w:val="22"/>
        </w:rPr>
        <w:t xml:space="preserve"> zamjenu postojećih zastarjelih rasvjetnih tijela</w:t>
      </w:r>
      <w:r w:rsidRPr="00CB7865">
        <w:rPr>
          <w:rFonts w:ascii="Arial" w:hAnsi="Arial"/>
          <w:sz w:val="22"/>
          <w:szCs w:val="22"/>
        </w:rPr>
        <w:t xml:space="preserve"> </w:t>
      </w:r>
      <w:r>
        <w:rPr>
          <w:rFonts w:ascii="Arial" w:hAnsi="Arial"/>
          <w:sz w:val="22"/>
          <w:szCs w:val="22"/>
        </w:rPr>
        <w:t xml:space="preserve">tj. svih svjetiljki i reflektora s klasičnim neučinkovitim izvorima svjetla s novim učinkovitijim svjetiljkama i reflektorima s LED izvorima svjetlosti, kao i daljinski način upravljanja cjelokupnom rasvjetom s jednog mjesta. Rekonstrukcija vanjske rasvjete obuhvaća samo zamjenu rasvjetnih tijela s </w:t>
      </w:r>
      <w:proofErr w:type="spellStart"/>
      <w:r>
        <w:rPr>
          <w:rFonts w:ascii="Arial" w:hAnsi="Arial"/>
          <w:sz w:val="22"/>
          <w:szCs w:val="22"/>
        </w:rPr>
        <w:t>unčikovitijim</w:t>
      </w:r>
      <w:proofErr w:type="spellEnd"/>
      <w:r>
        <w:rPr>
          <w:rFonts w:ascii="Arial" w:hAnsi="Arial"/>
          <w:sz w:val="22"/>
          <w:szCs w:val="22"/>
        </w:rPr>
        <w:t xml:space="preserve"> rasvjetnim tijelima s LED izvorima svijetlosti, a pri tome se zadržavaju svi postojeći rasvjetni stupovi svjetiljki i reflektora. </w:t>
      </w:r>
    </w:p>
    <w:p w:rsidR="00366B80" w:rsidRPr="00CB7865" w:rsidRDefault="00366B80" w:rsidP="00366B80">
      <w:pPr>
        <w:ind w:left="-142"/>
        <w:jc w:val="both"/>
        <w:rPr>
          <w:rFonts w:ascii="Arial" w:hAnsi="Arial"/>
          <w:sz w:val="22"/>
          <w:szCs w:val="22"/>
        </w:rPr>
      </w:pPr>
      <w:r>
        <w:rPr>
          <w:rFonts w:ascii="Arial" w:hAnsi="Arial"/>
          <w:sz w:val="22"/>
          <w:szCs w:val="22"/>
        </w:rPr>
        <w:t xml:space="preserve">U cilju osiguranja pouzdanosti i sigurnosti elektroopskrbe vanjske rasvjete nakon planirane rekonstrukcije, kao i svih objekata na području Luke Dubrovnik, nužno je izvršiti rekonstrukciju tj. zamjenu 10 kV zastarjelog postrojenja TS „Luka II.“ 10/0,4 kV, 2x630 </w:t>
      </w:r>
      <w:proofErr w:type="spellStart"/>
      <w:r>
        <w:rPr>
          <w:rFonts w:ascii="Arial" w:hAnsi="Arial"/>
          <w:sz w:val="22"/>
          <w:szCs w:val="22"/>
        </w:rPr>
        <w:t>kVA</w:t>
      </w:r>
      <w:proofErr w:type="spellEnd"/>
      <w:r>
        <w:rPr>
          <w:rFonts w:ascii="Arial" w:hAnsi="Arial"/>
          <w:sz w:val="22"/>
          <w:szCs w:val="22"/>
        </w:rPr>
        <w:t xml:space="preserve"> (starosti više od 30 god.), s kompletno novim postrojenjem, što će biti obuhvaćeno zasebnim projektom.  </w:t>
      </w:r>
    </w:p>
    <w:p w:rsidR="00366B80" w:rsidRPr="00CB7865" w:rsidRDefault="00366B80" w:rsidP="00366B80">
      <w:pPr>
        <w:rPr>
          <w:rFonts w:ascii="Arial" w:hAnsi="Arial"/>
          <w:sz w:val="22"/>
          <w:szCs w:val="22"/>
        </w:rPr>
      </w:pPr>
      <w:r w:rsidRPr="00CB7865">
        <w:rPr>
          <w:rFonts w:ascii="Arial" w:hAnsi="Arial"/>
          <w:sz w:val="22"/>
          <w:szCs w:val="22"/>
        </w:rPr>
        <w:t xml:space="preserve">                   </w:t>
      </w:r>
    </w:p>
    <w:p w:rsidR="00366B80" w:rsidRPr="00CB7865" w:rsidRDefault="00366B80" w:rsidP="00366B80">
      <w:pPr>
        <w:ind w:left="-142"/>
        <w:rPr>
          <w:rFonts w:ascii="Arial" w:hAnsi="Arial"/>
          <w:sz w:val="22"/>
          <w:szCs w:val="22"/>
        </w:rPr>
      </w:pPr>
      <w:r w:rsidRPr="00CB7865">
        <w:rPr>
          <w:rFonts w:ascii="Arial" w:hAnsi="Arial"/>
          <w:sz w:val="22"/>
          <w:szCs w:val="22"/>
        </w:rPr>
        <w:t xml:space="preserve">                                                        </w:t>
      </w:r>
    </w:p>
    <w:p w:rsidR="00366B80" w:rsidRPr="00CB7865" w:rsidRDefault="00366B80" w:rsidP="00366B80">
      <w:pPr>
        <w:tabs>
          <w:tab w:val="left" w:pos="1134"/>
        </w:tabs>
        <w:ind w:left="-142" w:right="-947"/>
        <w:rPr>
          <w:rFonts w:ascii="Arial" w:hAnsi="Arial"/>
          <w:sz w:val="22"/>
          <w:szCs w:val="22"/>
        </w:rPr>
      </w:pPr>
      <w:r>
        <w:rPr>
          <w:rFonts w:ascii="Arial" w:hAnsi="Arial"/>
          <w:sz w:val="22"/>
          <w:szCs w:val="22"/>
        </w:rPr>
        <w:t>2.1.2.</w:t>
      </w:r>
      <w:r>
        <w:rPr>
          <w:rFonts w:ascii="Arial" w:hAnsi="Arial"/>
          <w:sz w:val="22"/>
          <w:szCs w:val="22"/>
        </w:rPr>
        <w:tab/>
        <w:t>Opis postojećeg stanja vanjske rasvjete</w:t>
      </w:r>
    </w:p>
    <w:p w:rsidR="00366B80" w:rsidRDefault="00366B80" w:rsidP="00366B80">
      <w:pPr>
        <w:ind w:left="-142"/>
        <w:jc w:val="both"/>
        <w:rPr>
          <w:rFonts w:ascii="Arial" w:hAnsi="Arial"/>
          <w:sz w:val="22"/>
          <w:szCs w:val="22"/>
        </w:rPr>
      </w:pPr>
    </w:p>
    <w:p w:rsidR="00366B80" w:rsidRPr="008A07E6" w:rsidRDefault="00366B80" w:rsidP="00366B80">
      <w:pPr>
        <w:ind w:left="-142"/>
        <w:jc w:val="both"/>
        <w:rPr>
          <w:rFonts w:ascii="Arial" w:hAnsi="Arial"/>
          <w:sz w:val="22"/>
          <w:szCs w:val="22"/>
        </w:rPr>
      </w:pPr>
      <w:r w:rsidRPr="008A07E6">
        <w:rPr>
          <w:rFonts w:ascii="Arial" w:hAnsi="Arial"/>
          <w:sz w:val="22"/>
          <w:szCs w:val="22"/>
        </w:rPr>
        <w:t xml:space="preserve">Podaci o postojećem stanju </w:t>
      </w:r>
      <w:r>
        <w:rPr>
          <w:rFonts w:ascii="Arial" w:hAnsi="Arial"/>
          <w:sz w:val="22"/>
          <w:szCs w:val="22"/>
        </w:rPr>
        <w:t xml:space="preserve">vanjske rasvjete </w:t>
      </w:r>
      <w:r w:rsidRPr="008A07E6">
        <w:rPr>
          <w:rFonts w:ascii="Arial" w:hAnsi="Arial"/>
          <w:sz w:val="22"/>
          <w:szCs w:val="22"/>
        </w:rPr>
        <w:t xml:space="preserve">dobiveni su </w:t>
      </w:r>
      <w:r>
        <w:rPr>
          <w:rFonts w:ascii="Arial" w:hAnsi="Arial"/>
          <w:sz w:val="22"/>
          <w:szCs w:val="22"/>
        </w:rPr>
        <w:t xml:space="preserve">obilaskom i pregledom objekata  vanjske </w:t>
      </w:r>
      <w:r w:rsidRPr="008A07E6">
        <w:rPr>
          <w:rFonts w:ascii="Arial" w:hAnsi="Arial"/>
          <w:sz w:val="22"/>
          <w:szCs w:val="22"/>
        </w:rPr>
        <w:t xml:space="preserve">rasvjete </w:t>
      </w:r>
      <w:r>
        <w:rPr>
          <w:rFonts w:ascii="Arial" w:hAnsi="Arial"/>
          <w:sz w:val="22"/>
          <w:szCs w:val="22"/>
        </w:rPr>
        <w:t xml:space="preserve">cjelokupnog područja Luke Dubrovnik u Gružu, kao i pribavljanjem podataka iz raspoložive tehničke i druge </w:t>
      </w:r>
      <w:proofErr w:type="spellStart"/>
      <w:r>
        <w:rPr>
          <w:rFonts w:ascii="Arial" w:hAnsi="Arial"/>
          <w:sz w:val="22"/>
          <w:szCs w:val="22"/>
        </w:rPr>
        <w:t>dokumenentacije</w:t>
      </w:r>
      <w:proofErr w:type="spellEnd"/>
      <w:r>
        <w:rPr>
          <w:rFonts w:ascii="Arial" w:hAnsi="Arial"/>
          <w:sz w:val="22"/>
          <w:szCs w:val="22"/>
        </w:rPr>
        <w:t>.</w:t>
      </w:r>
    </w:p>
    <w:p w:rsidR="00366B80" w:rsidRDefault="00366B80" w:rsidP="00366B80">
      <w:pPr>
        <w:ind w:left="-142"/>
        <w:jc w:val="both"/>
        <w:rPr>
          <w:rFonts w:ascii="Arial" w:hAnsi="Arial"/>
          <w:sz w:val="22"/>
          <w:szCs w:val="22"/>
        </w:rPr>
      </w:pPr>
      <w:bookmarkStart w:id="0" w:name="OLE_LINK5"/>
      <w:bookmarkStart w:id="1" w:name="OLE_LINK6"/>
      <w:r>
        <w:rPr>
          <w:rFonts w:ascii="Arial" w:hAnsi="Arial"/>
          <w:sz w:val="22"/>
          <w:szCs w:val="22"/>
        </w:rPr>
        <w:t xml:space="preserve">Postojeća vanjska rasvjeta tj. rasvjetna tijela na stupovima, </w:t>
      </w:r>
      <w:proofErr w:type="spellStart"/>
      <w:r>
        <w:rPr>
          <w:rFonts w:ascii="Arial" w:hAnsi="Arial"/>
          <w:sz w:val="22"/>
          <w:szCs w:val="22"/>
        </w:rPr>
        <w:t>prestavljaju</w:t>
      </w:r>
      <w:proofErr w:type="spellEnd"/>
      <w:r>
        <w:rPr>
          <w:rFonts w:ascii="Arial" w:hAnsi="Arial"/>
          <w:sz w:val="22"/>
          <w:szCs w:val="22"/>
        </w:rPr>
        <w:t xml:space="preserve"> sve montirane svjetiljke i reflektori na rasvjetnim stupovima i nosačima na cjelokupnom području Luke Dubrovnik. </w:t>
      </w:r>
    </w:p>
    <w:p w:rsidR="00366B80" w:rsidRDefault="00366B80" w:rsidP="00366B80">
      <w:pPr>
        <w:ind w:left="-142"/>
        <w:jc w:val="both"/>
        <w:rPr>
          <w:rFonts w:ascii="Arial" w:hAnsi="Arial"/>
          <w:sz w:val="22"/>
          <w:szCs w:val="22"/>
        </w:rPr>
      </w:pPr>
      <w:r>
        <w:rPr>
          <w:rFonts w:ascii="Arial" w:hAnsi="Arial"/>
          <w:sz w:val="22"/>
          <w:szCs w:val="22"/>
        </w:rPr>
        <w:t xml:space="preserve">Ukupno je postavljeno 45 kom svjetiljki, a 5 različitih tipova svjetiljki s ukupno 14,34 kW instalirane snage i ukupno 116 kom reflektora, a 5 različitih tipova s ukupno 61,35 kW instalirane snage. </w:t>
      </w:r>
    </w:p>
    <w:p w:rsidR="00366B80" w:rsidRDefault="00366B80" w:rsidP="00366B80">
      <w:pPr>
        <w:ind w:left="-142"/>
        <w:jc w:val="both"/>
        <w:rPr>
          <w:rFonts w:ascii="Arial" w:hAnsi="Arial"/>
          <w:sz w:val="22"/>
          <w:szCs w:val="22"/>
        </w:rPr>
      </w:pPr>
      <w:r>
        <w:rPr>
          <w:rFonts w:ascii="Arial" w:hAnsi="Arial"/>
          <w:sz w:val="22"/>
          <w:szCs w:val="22"/>
        </w:rPr>
        <w:t xml:space="preserve">Od 45 kom zastarjelih svjetiljki, 30 kom su potpuno </w:t>
      </w:r>
      <w:proofErr w:type="spellStart"/>
      <w:r>
        <w:rPr>
          <w:rFonts w:ascii="Arial" w:hAnsi="Arial"/>
          <w:sz w:val="22"/>
          <w:szCs w:val="22"/>
        </w:rPr>
        <w:t>zastarijele</w:t>
      </w:r>
      <w:proofErr w:type="spellEnd"/>
      <w:r>
        <w:rPr>
          <w:rFonts w:ascii="Arial" w:hAnsi="Arial"/>
          <w:sz w:val="22"/>
          <w:szCs w:val="22"/>
        </w:rPr>
        <w:t xml:space="preserve">, a nalaze se na čeličnim rasvjetnim stupovima visine 6 i 9 m, kao i 5 kom svjetiljki na objektu nadstrešnice nasuprot hale Konzuma tj. prolaza prema autobusnom kolodvoru, što ukupno čini ukupno 35 kom ekološki potpuno neprihvatljivih svjetiljki. Preostalih 10 kom su novije svjetiljke  tip KAOS 2 1x250W, koje su jedino prihvatljive  u odnosu na svjetlosno onečišćenje, ali su i one neučinkovite </w:t>
      </w:r>
      <w:proofErr w:type="spellStart"/>
      <w:r>
        <w:rPr>
          <w:rFonts w:ascii="Arial" w:hAnsi="Arial"/>
          <w:sz w:val="22"/>
          <w:szCs w:val="22"/>
        </w:rPr>
        <w:t>premo</w:t>
      </w:r>
      <w:proofErr w:type="spellEnd"/>
      <w:r>
        <w:rPr>
          <w:rFonts w:ascii="Arial" w:hAnsi="Arial"/>
          <w:sz w:val="22"/>
          <w:szCs w:val="22"/>
        </w:rPr>
        <w:t xml:space="preserve"> odnosu  svjetlosnog toka i snage tj. odnosa lm/W. Ovih 10 kom   novijih svjetiljki postavljeno je  po dvije na krajevima </w:t>
      </w:r>
      <w:proofErr w:type="spellStart"/>
      <w:r>
        <w:rPr>
          <w:rFonts w:ascii="Arial" w:hAnsi="Arial"/>
          <w:sz w:val="22"/>
          <w:szCs w:val="22"/>
        </w:rPr>
        <w:t>dvogranog</w:t>
      </w:r>
      <w:proofErr w:type="spellEnd"/>
      <w:r>
        <w:rPr>
          <w:rFonts w:ascii="Arial" w:hAnsi="Arial"/>
          <w:sz w:val="22"/>
          <w:szCs w:val="22"/>
        </w:rPr>
        <w:t xml:space="preserve"> kraka nasađenog na 5 čeličnih rasvjetnih stupova visine 9 m uz obalu </w:t>
      </w:r>
      <w:proofErr w:type="spellStart"/>
      <w:r>
        <w:rPr>
          <w:rFonts w:ascii="Arial" w:hAnsi="Arial"/>
          <w:sz w:val="22"/>
          <w:szCs w:val="22"/>
        </w:rPr>
        <w:t>sjevero</w:t>
      </w:r>
      <w:proofErr w:type="spellEnd"/>
      <w:r>
        <w:rPr>
          <w:rFonts w:ascii="Arial" w:hAnsi="Arial"/>
          <w:sz w:val="22"/>
          <w:szCs w:val="22"/>
        </w:rPr>
        <w:t xml:space="preserve">-zapadno od zgrade Lučka uprava. </w:t>
      </w:r>
    </w:p>
    <w:p w:rsidR="00366B80" w:rsidRDefault="00366B80" w:rsidP="00366B80">
      <w:pPr>
        <w:ind w:left="-142"/>
        <w:jc w:val="both"/>
        <w:rPr>
          <w:rFonts w:ascii="Arial" w:hAnsi="Arial"/>
          <w:sz w:val="22"/>
          <w:szCs w:val="22"/>
        </w:rPr>
      </w:pPr>
      <w:r>
        <w:rPr>
          <w:rFonts w:ascii="Arial" w:hAnsi="Arial"/>
          <w:sz w:val="22"/>
          <w:szCs w:val="22"/>
        </w:rPr>
        <w:t xml:space="preserve">Izgled svjetiljke, snaga izvora svjetlosti, snaga svjetiljke s </w:t>
      </w:r>
      <w:proofErr w:type="spellStart"/>
      <w:r>
        <w:rPr>
          <w:rFonts w:ascii="Arial" w:hAnsi="Arial"/>
          <w:sz w:val="22"/>
          <w:szCs w:val="22"/>
        </w:rPr>
        <w:t>predspojnim</w:t>
      </w:r>
      <w:proofErr w:type="spellEnd"/>
      <w:r>
        <w:rPr>
          <w:rFonts w:ascii="Arial" w:hAnsi="Arial"/>
          <w:sz w:val="22"/>
          <w:szCs w:val="22"/>
        </w:rPr>
        <w:t xml:space="preserve"> uređajem, broj svjetiljki i ukupna snaga svjetiljki za svih 5 tipova, </w:t>
      </w:r>
      <w:proofErr w:type="spellStart"/>
      <w:r>
        <w:rPr>
          <w:rFonts w:ascii="Arial" w:hAnsi="Arial"/>
          <w:sz w:val="22"/>
          <w:szCs w:val="22"/>
        </w:rPr>
        <w:t>data</w:t>
      </w:r>
      <w:proofErr w:type="spellEnd"/>
      <w:r>
        <w:rPr>
          <w:rFonts w:ascii="Arial" w:hAnsi="Arial"/>
          <w:sz w:val="22"/>
          <w:szCs w:val="22"/>
        </w:rPr>
        <w:t xml:space="preserve"> je u „Tablica prikaza postojećih svjetiljki“.</w:t>
      </w:r>
    </w:p>
    <w:p w:rsidR="00366B80" w:rsidRDefault="00366B80" w:rsidP="00366B80">
      <w:pPr>
        <w:ind w:left="-142"/>
        <w:jc w:val="both"/>
        <w:rPr>
          <w:rFonts w:ascii="Arial" w:hAnsi="Arial"/>
          <w:sz w:val="22"/>
          <w:szCs w:val="22"/>
        </w:rPr>
      </w:pPr>
      <w:r>
        <w:rPr>
          <w:rFonts w:ascii="Arial" w:hAnsi="Arial"/>
          <w:sz w:val="22"/>
          <w:szCs w:val="22"/>
        </w:rPr>
        <w:t>Preostala rasvjetna tijela su 161 kom MH (</w:t>
      </w:r>
      <w:proofErr w:type="spellStart"/>
      <w:r>
        <w:rPr>
          <w:rFonts w:ascii="Arial" w:hAnsi="Arial"/>
          <w:sz w:val="22"/>
          <w:szCs w:val="22"/>
        </w:rPr>
        <w:t>metalhalogenih</w:t>
      </w:r>
      <w:proofErr w:type="spellEnd"/>
      <w:r>
        <w:rPr>
          <w:rFonts w:ascii="Arial" w:hAnsi="Arial"/>
          <w:sz w:val="22"/>
          <w:szCs w:val="22"/>
        </w:rPr>
        <w:t>) reflektora s ukupno 61,34 kW instalirane snage  i to:</w:t>
      </w:r>
    </w:p>
    <w:p w:rsidR="00366B80" w:rsidRDefault="00366B80" w:rsidP="00366B80">
      <w:pPr>
        <w:ind w:left="-142"/>
        <w:jc w:val="both"/>
        <w:rPr>
          <w:rFonts w:ascii="Arial" w:hAnsi="Arial"/>
          <w:sz w:val="22"/>
          <w:szCs w:val="22"/>
        </w:rPr>
      </w:pPr>
      <w:r>
        <w:rPr>
          <w:rFonts w:ascii="Arial" w:hAnsi="Arial"/>
          <w:sz w:val="22"/>
          <w:szCs w:val="22"/>
        </w:rPr>
        <w:t xml:space="preserve">- ukupno 8 kom starijih MH reflektora snage izvora 250 W i to po 4 kom na dva čelična rasvjetna stupa visine 12 m uz obalu sa </w:t>
      </w:r>
      <w:proofErr w:type="spellStart"/>
      <w:r>
        <w:rPr>
          <w:rFonts w:ascii="Arial" w:hAnsi="Arial"/>
          <w:sz w:val="22"/>
          <w:szCs w:val="22"/>
        </w:rPr>
        <w:t>sjevero.istočne</w:t>
      </w:r>
      <w:proofErr w:type="spellEnd"/>
      <w:r>
        <w:rPr>
          <w:rFonts w:ascii="Arial" w:hAnsi="Arial"/>
          <w:sz w:val="22"/>
          <w:szCs w:val="22"/>
        </w:rPr>
        <w:t xml:space="preserve"> strane zgrade Lučka uprava </w:t>
      </w:r>
    </w:p>
    <w:p w:rsidR="00366B80" w:rsidRDefault="00366B80" w:rsidP="00366B80">
      <w:pPr>
        <w:ind w:left="-142"/>
        <w:jc w:val="both"/>
        <w:rPr>
          <w:rFonts w:ascii="Arial" w:hAnsi="Arial"/>
          <w:sz w:val="22"/>
          <w:szCs w:val="22"/>
        </w:rPr>
      </w:pPr>
      <w:r>
        <w:rPr>
          <w:rFonts w:ascii="Arial" w:hAnsi="Arial"/>
          <w:sz w:val="22"/>
          <w:szCs w:val="22"/>
        </w:rPr>
        <w:t>- ukupno 84 kom MH reflektora snage izvora 400 W na 14 čeličnih rasvjetnih stupova sa po           6 kom tih reflektora na svakom stupu, a</w:t>
      </w:r>
      <w:r w:rsidRPr="00D036D7">
        <w:rPr>
          <w:rFonts w:ascii="Arial" w:hAnsi="Arial"/>
          <w:sz w:val="22"/>
          <w:szCs w:val="22"/>
        </w:rPr>
        <w:t xml:space="preserve"> </w:t>
      </w:r>
      <w:r>
        <w:rPr>
          <w:rFonts w:ascii="Arial" w:hAnsi="Arial"/>
          <w:sz w:val="22"/>
          <w:szCs w:val="22"/>
        </w:rPr>
        <w:t>na dijelu novoizgrađenom operativne obale</w:t>
      </w:r>
    </w:p>
    <w:p w:rsidR="00366B80" w:rsidRDefault="00366B80" w:rsidP="00366B80">
      <w:pPr>
        <w:ind w:left="-142"/>
        <w:jc w:val="both"/>
        <w:rPr>
          <w:rFonts w:ascii="Arial" w:hAnsi="Arial"/>
          <w:sz w:val="22"/>
          <w:szCs w:val="22"/>
        </w:rPr>
      </w:pPr>
      <w:r>
        <w:rPr>
          <w:rFonts w:ascii="Arial" w:hAnsi="Arial"/>
          <w:sz w:val="22"/>
          <w:szCs w:val="22"/>
        </w:rPr>
        <w:t>- ukupno 12 kom MH reflektora snage izvora 1000 W na 2 čelična rasvjetna stupa sa po   6 kom tih reflektora na svakom</w:t>
      </w:r>
      <w:r w:rsidRPr="00B70F5A">
        <w:rPr>
          <w:rFonts w:ascii="Arial" w:hAnsi="Arial"/>
          <w:sz w:val="22"/>
          <w:szCs w:val="22"/>
        </w:rPr>
        <w:t xml:space="preserve"> </w:t>
      </w:r>
      <w:r>
        <w:rPr>
          <w:rFonts w:ascii="Arial" w:hAnsi="Arial"/>
          <w:sz w:val="22"/>
          <w:szCs w:val="22"/>
        </w:rPr>
        <w:t>stupu, a na dijelu novoizgrađenom operativne obale</w:t>
      </w:r>
    </w:p>
    <w:p w:rsidR="00366B80" w:rsidRDefault="00366B80" w:rsidP="00366B80">
      <w:pPr>
        <w:ind w:left="-142"/>
        <w:jc w:val="both"/>
        <w:rPr>
          <w:rFonts w:ascii="Arial" w:hAnsi="Arial"/>
          <w:sz w:val="22"/>
          <w:szCs w:val="22"/>
        </w:rPr>
      </w:pPr>
      <w:r>
        <w:rPr>
          <w:rFonts w:ascii="Arial" w:hAnsi="Arial"/>
          <w:sz w:val="22"/>
          <w:szCs w:val="22"/>
        </w:rPr>
        <w:t>- ukupno 2 kom MH reflektora snage izvora 1000 W i 3 kom reflektora snage MH izvora 400 W na jednom čeličnom rasvjetnom stupu visine 16 m, a na dijelu novoizgrađenom operativne obale</w:t>
      </w:r>
    </w:p>
    <w:p w:rsidR="00366B80" w:rsidRDefault="00366B80" w:rsidP="00366B80">
      <w:pPr>
        <w:ind w:left="-142"/>
        <w:jc w:val="both"/>
        <w:rPr>
          <w:rFonts w:ascii="Arial" w:hAnsi="Arial"/>
          <w:sz w:val="22"/>
          <w:szCs w:val="22"/>
        </w:rPr>
      </w:pPr>
      <w:r>
        <w:rPr>
          <w:rFonts w:ascii="Arial" w:hAnsi="Arial"/>
          <w:sz w:val="22"/>
          <w:szCs w:val="22"/>
        </w:rPr>
        <w:t>- ukupno 3 kom MH reflektora snage 400 W postavljenih na nosaču na sjeverozapadnom pilonu mosta Dr. Franjo Tuđman na visinu 16 m od površine terena</w:t>
      </w:r>
    </w:p>
    <w:bookmarkEnd w:id="0"/>
    <w:bookmarkEnd w:id="1"/>
    <w:p w:rsidR="00366B80" w:rsidRDefault="00366B80" w:rsidP="00366B80">
      <w:pPr>
        <w:ind w:left="-142"/>
        <w:jc w:val="both"/>
        <w:rPr>
          <w:rFonts w:ascii="Arial" w:hAnsi="Arial"/>
          <w:sz w:val="22"/>
          <w:szCs w:val="22"/>
        </w:rPr>
      </w:pPr>
      <w:r>
        <w:rPr>
          <w:rFonts w:ascii="Arial" w:hAnsi="Arial"/>
          <w:sz w:val="22"/>
          <w:szCs w:val="22"/>
        </w:rPr>
        <w:t>- ukupno 4 kom MH reflektora snage 400 W postavljeni na sjeveroistočnom pilonu mosta            Dr. Franjo Tuđman na visinu 16 m od površine terena.</w:t>
      </w: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r>
        <w:rPr>
          <w:rFonts w:ascii="Arial" w:hAnsi="Arial"/>
          <w:sz w:val="22"/>
          <w:szCs w:val="22"/>
        </w:rPr>
        <w:lastRenderedPageBreak/>
        <w:t xml:space="preserve">Izgled svjetiljki, snaga izvora svjetlosti, snaga svjetiljke, broj svjetiljki i ukupna snaga svjetiljki za svih 5 tipova </w:t>
      </w:r>
      <w:proofErr w:type="spellStart"/>
      <w:r>
        <w:rPr>
          <w:rFonts w:ascii="Arial" w:hAnsi="Arial"/>
          <w:sz w:val="22"/>
          <w:szCs w:val="22"/>
        </w:rPr>
        <w:t>data</w:t>
      </w:r>
      <w:proofErr w:type="spellEnd"/>
      <w:r>
        <w:rPr>
          <w:rFonts w:ascii="Arial" w:hAnsi="Arial"/>
          <w:sz w:val="22"/>
          <w:szCs w:val="22"/>
        </w:rPr>
        <w:t xml:space="preserve"> je u „Tablica prikaza postojećih svjetiljki“.</w:t>
      </w: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tbl>
      <w:tblPr>
        <w:tblW w:w="9498" w:type="dxa"/>
        <w:tblInd w:w="-34" w:type="dxa"/>
        <w:tblLayout w:type="fixed"/>
        <w:tblLook w:val="04A0" w:firstRow="1" w:lastRow="0" w:firstColumn="1" w:lastColumn="0" w:noHBand="0" w:noVBand="1"/>
      </w:tblPr>
      <w:tblGrid>
        <w:gridCol w:w="824"/>
        <w:gridCol w:w="2012"/>
        <w:gridCol w:w="1984"/>
        <w:gridCol w:w="992"/>
        <w:gridCol w:w="993"/>
        <w:gridCol w:w="992"/>
        <w:gridCol w:w="1701"/>
      </w:tblGrid>
      <w:tr w:rsidR="00366B80" w:rsidRPr="00975605" w:rsidTr="00055582">
        <w:trPr>
          <w:trHeight w:val="300"/>
        </w:trPr>
        <w:tc>
          <w:tcPr>
            <w:tcW w:w="9498" w:type="dxa"/>
            <w:gridSpan w:val="7"/>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366B80" w:rsidRPr="00975605" w:rsidRDefault="00366B80" w:rsidP="00055582">
            <w:pPr>
              <w:jc w:val="center"/>
              <w:rPr>
                <w:rFonts w:ascii="Calibri" w:hAnsi="Calibri"/>
                <w:color w:val="000000"/>
                <w:sz w:val="22"/>
                <w:szCs w:val="22"/>
                <w:lang w:eastAsia="hr-HR"/>
              </w:rPr>
            </w:pPr>
            <w:r w:rsidRPr="00975605">
              <w:rPr>
                <w:rFonts w:ascii="Calibri" w:hAnsi="Calibri"/>
                <w:color w:val="000000"/>
                <w:sz w:val="22"/>
                <w:szCs w:val="22"/>
                <w:lang w:eastAsia="hr-HR"/>
              </w:rPr>
              <w:t>TABLICA PRIKAZA POSTOJEĆIH SVJETILJKI</w:t>
            </w:r>
          </w:p>
        </w:tc>
      </w:tr>
      <w:tr w:rsidR="00366B80" w:rsidRPr="00975605" w:rsidTr="00055582">
        <w:trPr>
          <w:trHeight w:val="300"/>
        </w:trPr>
        <w:tc>
          <w:tcPr>
            <w:tcW w:w="9498" w:type="dxa"/>
            <w:gridSpan w:val="7"/>
            <w:vMerge/>
            <w:tcBorders>
              <w:top w:val="single" w:sz="4" w:space="0" w:color="auto"/>
              <w:left w:val="single" w:sz="4" w:space="0" w:color="auto"/>
              <w:bottom w:val="single" w:sz="4" w:space="0" w:color="000000"/>
              <w:right w:val="single" w:sz="4" w:space="0" w:color="000000"/>
            </w:tcBorders>
            <w:vAlign w:val="center"/>
            <w:hideMark/>
          </w:tcPr>
          <w:p w:rsidR="00366B80" w:rsidRPr="00975605" w:rsidRDefault="00366B80" w:rsidP="00055582">
            <w:pPr>
              <w:rPr>
                <w:rFonts w:ascii="Calibri" w:hAnsi="Calibri"/>
                <w:color w:val="000000"/>
                <w:sz w:val="22"/>
                <w:szCs w:val="22"/>
                <w:lang w:eastAsia="hr-HR"/>
              </w:rPr>
            </w:pPr>
          </w:p>
        </w:tc>
      </w:tr>
      <w:tr w:rsidR="00366B80" w:rsidRPr="00975605" w:rsidTr="00055582">
        <w:trPr>
          <w:trHeight w:val="495"/>
        </w:trPr>
        <w:tc>
          <w:tcPr>
            <w:tcW w:w="8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975605" w:rsidRDefault="00366B80" w:rsidP="00055582">
            <w:pPr>
              <w:jc w:val="center"/>
              <w:rPr>
                <w:rFonts w:ascii="Arial" w:hAnsi="Arial" w:cs="Arial"/>
                <w:color w:val="000000"/>
                <w:sz w:val="18"/>
                <w:szCs w:val="18"/>
                <w:lang w:eastAsia="hr-HR"/>
              </w:rPr>
            </w:pPr>
            <w:r w:rsidRPr="00975605">
              <w:rPr>
                <w:rFonts w:ascii="Arial" w:hAnsi="Arial" w:cs="Arial"/>
                <w:color w:val="000000"/>
                <w:sz w:val="18"/>
                <w:szCs w:val="18"/>
                <w:lang w:eastAsia="hr-HR"/>
              </w:rPr>
              <w:t>Redni broj</w:t>
            </w:r>
          </w:p>
        </w:tc>
        <w:tc>
          <w:tcPr>
            <w:tcW w:w="2012" w:type="dxa"/>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366B80" w:rsidRPr="00975605" w:rsidRDefault="00366B80" w:rsidP="00055582">
            <w:pPr>
              <w:jc w:val="center"/>
              <w:rPr>
                <w:rFonts w:ascii="Arial" w:hAnsi="Arial" w:cs="Arial"/>
                <w:color w:val="000000"/>
                <w:sz w:val="18"/>
                <w:szCs w:val="18"/>
                <w:lang w:eastAsia="hr-HR"/>
              </w:rPr>
            </w:pPr>
            <w:r w:rsidRPr="00975605">
              <w:rPr>
                <w:rFonts w:ascii="Arial" w:hAnsi="Arial" w:cs="Arial"/>
                <w:color w:val="000000"/>
                <w:sz w:val="18"/>
                <w:szCs w:val="18"/>
                <w:lang w:eastAsia="hr-HR"/>
              </w:rPr>
              <w:t>Tip svjetiljke</w:t>
            </w:r>
          </w:p>
        </w:tc>
        <w:tc>
          <w:tcPr>
            <w:tcW w:w="1984" w:type="dxa"/>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366B80" w:rsidRPr="00975605" w:rsidRDefault="00366B80" w:rsidP="00055582">
            <w:pPr>
              <w:jc w:val="center"/>
              <w:rPr>
                <w:rFonts w:ascii="Arial" w:hAnsi="Arial" w:cs="Arial"/>
                <w:color w:val="000000"/>
                <w:sz w:val="18"/>
                <w:szCs w:val="18"/>
                <w:lang w:eastAsia="hr-HR"/>
              </w:rPr>
            </w:pPr>
            <w:r w:rsidRPr="00975605">
              <w:rPr>
                <w:rFonts w:ascii="Arial" w:hAnsi="Arial" w:cs="Arial"/>
                <w:color w:val="000000"/>
                <w:sz w:val="18"/>
                <w:szCs w:val="18"/>
                <w:lang w:eastAsia="hr-HR"/>
              </w:rPr>
              <w:t>Izgled svjetiljke</w:t>
            </w:r>
          </w:p>
        </w:tc>
        <w:tc>
          <w:tcPr>
            <w:tcW w:w="992"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975605" w:rsidRDefault="00366B80" w:rsidP="00055582">
            <w:pPr>
              <w:jc w:val="center"/>
              <w:rPr>
                <w:rFonts w:ascii="Arial" w:hAnsi="Arial" w:cs="Arial"/>
                <w:color w:val="000000"/>
                <w:sz w:val="18"/>
                <w:szCs w:val="18"/>
                <w:lang w:eastAsia="hr-HR"/>
              </w:rPr>
            </w:pPr>
            <w:r w:rsidRPr="00975605">
              <w:rPr>
                <w:rFonts w:ascii="Arial" w:hAnsi="Arial" w:cs="Arial"/>
                <w:color w:val="000000"/>
                <w:sz w:val="18"/>
                <w:szCs w:val="18"/>
                <w:lang w:eastAsia="hr-HR"/>
              </w:rPr>
              <w:t>Snaga izvora svjetlosti (W)</w:t>
            </w:r>
          </w:p>
        </w:tc>
        <w:tc>
          <w:tcPr>
            <w:tcW w:w="99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975605" w:rsidRDefault="00366B80" w:rsidP="00055582">
            <w:pPr>
              <w:jc w:val="center"/>
              <w:rPr>
                <w:rFonts w:ascii="Arial" w:hAnsi="Arial" w:cs="Arial"/>
                <w:color w:val="000000"/>
                <w:sz w:val="18"/>
                <w:szCs w:val="18"/>
                <w:lang w:eastAsia="hr-HR"/>
              </w:rPr>
            </w:pPr>
            <w:r w:rsidRPr="00975605">
              <w:rPr>
                <w:rFonts w:ascii="Arial" w:hAnsi="Arial" w:cs="Arial"/>
                <w:color w:val="000000"/>
                <w:sz w:val="18"/>
                <w:szCs w:val="18"/>
                <w:lang w:eastAsia="hr-HR"/>
              </w:rPr>
              <w:t>Snaga svjetiljke (W)</w:t>
            </w:r>
          </w:p>
        </w:tc>
        <w:tc>
          <w:tcPr>
            <w:tcW w:w="992"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975605" w:rsidRDefault="00366B80" w:rsidP="00055582">
            <w:pPr>
              <w:jc w:val="center"/>
              <w:rPr>
                <w:rFonts w:ascii="Arial" w:hAnsi="Arial" w:cs="Arial"/>
                <w:color w:val="000000"/>
                <w:sz w:val="18"/>
                <w:szCs w:val="18"/>
                <w:lang w:eastAsia="hr-HR"/>
              </w:rPr>
            </w:pPr>
            <w:r w:rsidRPr="00975605">
              <w:rPr>
                <w:rFonts w:ascii="Arial" w:hAnsi="Arial" w:cs="Arial"/>
                <w:color w:val="000000"/>
                <w:sz w:val="18"/>
                <w:szCs w:val="18"/>
                <w:lang w:eastAsia="hr-HR"/>
              </w:rPr>
              <w:t>Broj svjetiljki (kom)</w:t>
            </w:r>
          </w:p>
        </w:tc>
        <w:tc>
          <w:tcPr>
            <w:tcW w:w="170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975605" w:rsidRDefault="00366B80" w:rsidP="00055582">
            <w:pPr>
              <w:jc w:val="center"/>
              <w:rPr>
                <w:rFonts w:ascii="Arial" w:hAnsi="Arial" w:cs="Arial"/>
                <w:color w:val="000000"/>
                <w:sz w:val="18"/>
                <w:szCs w:val="18"/>
                <w:lang w:eastAsia="hr-HR"/>
              </w:rPr>
            </w:pPr>
            <w:r w:rsidRPr="00975605">
              <w:rPr>
                <w:rFonts w:ascii="Arial" w:hAnsi="Arial" w:cs="Arial"/>
                <w:color w:val="000000"/>
                <w:sz w:val="18"/>
                <w:szCs w:val="18"/>
                <w:lang w:eastAsia="hr-HR"/>
              </w:rPr>
              <w:t>Ukupna snaga  (kW)</w:t>
            </w:r>
          </w:p>
        </w:tc>
      </w:tr>
      <w:tr w:rsidR="00366B80" w:rsidRPr="00975605" w:rsidTr="00055582">
        <w:trPr>
          <w:trHeight w:val="495"/>
        </w:trPr>
        <w:tc>
          <w:tcPr>
            <w:tcW w:w="824" w:type="dxa"/>
            <w:vMerge/>
            <w:tcBorders>
              <w:top w:val="nil"/>
              <w:left w:val="single" w:sz="4" w:space="0" w:color="auto"/>
              <w:bottom w:val="single" w:sz="4" w:space="0" w:color="auto"/>
              <w:right w:val="single" w:sz="4" w:space="0" w:color="auto"/>
            </w:tcBorders>
            <w:vAlign w:val="center"/>
            <w:hideMark/>
          </w:tcPr>
          <w:p w:rsidR="00366B80" w:rsidRPr="00975605" w:rsidRDefault="00366B80" w:rsidP="00055582">
            <w:pPr>
              <w:rPr>
                <w:rFonts w:ascii="Arial" w:hAnsi="Arial" w:cs="Arial"/>
                <w:color w:val="000000"/>
                <w:sz w:val="18"/>
                <w:szCs w:val="18"/>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975605" w:rsidRDefault="00366B80" w:rsidP="00055582">
            <w:pPr>
              <w:rPr>
                <w:rFonts w:ascii="Arial" w:hAnsi="Arial" w:cs="Arial"/>
                <w:color w:val="000000"/>
                <w:sz w:val="18"/>
                <w:szCs w:val="18"/>
                <w:lang w:eastAsia="hr-HR"/>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66B80" w:rsidRPr="00975605" w:rsidRDefault="00366B80" w:rsidP="00055582">
            <w:pPr>
              <w:rPr>
                <w:rFonts w:ascii="Arial" w:hAnsi="Arial" w:cs="Arial"/>
                <w:color w:val="000000"/>
                <w:sz w:val="18"/>
                <w:szCs w:val="18"/>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975605" w:rsidRDefault="00366B80" w:rsidP="00055582">
            <w:pPr>
              <w:rPr>
                <w:rFonts w:ascii="Arial" w:hAnsi="Arial" w:cs="Arial"/>
                <w:color w:val="000000"/>
                <w:sz w:val="18"/>
                <w:szCs w:val="18"/>
                <w:lang w:eastAsia="hr-HR"/>
              </w:rPr>
            </w:pPr>
          </w:p>
        </w:tc>
        <w:tc>
          <w:tcPr>
            <w:tcW w:w="993" w:type="dxa"/>
            <w:vMerge/>
            <w:tcBorders>
              <w:top w:val="nil"/>
              <w:left w:val="single" w:sz="4" w:space="0" w:color="auto"/>
              <w:bottom w:val="single" w:sz="4" w:space="0" w:color="auto"/>
              <w:right w:val="single" w:sz="4" w:space="0" w:color="auto"/>
            </w:tcBorders>
            <w:vAlign w:val="center"/>
            <w:hideMark/>
          </w:tcPr>
          <w:p w:rsidR="00366B80" w:rsidRPr="00975605" w:rsidRDefault="00366B80" w:rsidP="00055582">
            <w:pPr>
              <w:rPr>
                <w:rFonts w:ascii="Arial" w:hAnsi="Arial" w:cs="Arial"/>
                <w:color w:val="000000"/>
                <w:sz w:val="18"/>
                <w:szCs w:val="18"/>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975605" w:rsidRDefault="00366B80" w:rsidP="00055582">
            <w:pPr>
              <w:rPr>
                <w:rFonts w:ascii="Arial" w:hAnsi="Arial" w:cs="Arial"/>
                <w:color w:val="000000"/>
                <w:sz w:val="18"/>
                <w:szCs w:val="18"/>
                <w:lang w:eastAsia="hr-HR"/>
              </w:rPr>
            </w:pPr>
          </w:p>
        </w:tc>
        <w:tc>
          <w:tcPr>
            <w:tcW w:w="1701" w:type="dxa"/>
            <w:vMerge/>
            <w:tcBorders>
              <w:top w:val="nil"/>
              <w:left w:val="single" w:sz="4" w:space="0" w:color="auto"/>
              <w:bottom w:val="single" w:sz="4" w:space="0" w:color="auto"/>
              <w:right w:val="single" w:sz="4" w:space="0" w:color="auto"/>
            </w:tcBorders>
            <w:vAlign w:val="center"/>
            <w:hideMark/>
          </w:tcPr>
          <w:p w:rsidR="00366B80" w:rsidRPr="00975605" w:rsidRDefault="00366B80" w:rsidP="00055582">
            <w:pPr>
              <w:rPr>
                <w:rFonts w:ascii="Arial" w:hAnsi="Arial" w:cs="Arial"/>
                <w:color w:val="000000"/>
                <w:sz w:val="18"/>
                <w:szCs w:val="18"/>
                <w:lang w:eastAsia="hr-HR"/>
              </w:rPr>
            </w:pPr>
          </w:p>
        </w:tc>
      </w:tr>
      <w:tr w:rsidR="00366B80" w:rsidRPr="00975605" w:rsidTr="00055582">
        <w:trPr>
          <w:trHeight w:val="300"/>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w:t>
            </w:r>
          </w:p>
        </w:tc>
        <w:tc>
          <w:tcPr>
            <w:tcW w:w="201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DUBROVNIK LVC-19           NAV-E 250 W;              TEP</w:t>
            </w:r>
          </w:p>
        </w:tc>
        <w:tc>
          <w:tcPr>
            <w:tcW w:w="1984"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59264" behindDoc="0" locked="0" layoutInCell="1" allowOverlap="1">
                  <wp:simplePos x="0" y="0"/>
                  <wp:positionH relativeFrom="column">
                    <wp:posOffset>180975</wp:posOffset>
                  </wp:positionH>
                  <wp:positionV relativeFrom="paragraph">
                    <wp:posOffset>9525</wp:posOffset>
                  </wp:positionV>
                  <wp:extent cx="762000" cy="742950"/>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6" cstate="print"/>
                          <a:srcRect/>
                          <a:stretch>
                            <a:fillRect/>
                          </a:stretch>
                        </pic:blipFill>
                        <pic:spPr bwMode="auto">
                          <a:xfrm>
                            <a:off x="0" y="0"/>
                            <a:ext cx="747467" cy="7269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r>
          </w:tbl>
          <w:p w:rsidR="00366B80" w:rsidRPr="00690EDA" w:rsidRDefault="00366B80" w:rsidP="00055582">
            <w:pPr>
              <w:rPr>
                <w:rFonts w:ascii="Calibri" w:hAnsi="Calibri"/>
                <w:color w:val="000000"/>
                <w:sz w:val="22"/>
                <w:szCs w:val="22"/>
                <w:lang w:eastAsia="hr-HR"/>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250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285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15</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4,28</w:t>
            </w: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auto"/>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w:t>
            </w:r>
          </w:p>
        </w:tc>
        <w:tc>
          <w:tcPr>
            <w:tcW w:w="201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GAMALUX LVC-16                    NAV-T 250 W;                    TEP</w:t>
            </w:r>
          </w:p>
        </w:tc>
        <w:tc>
          <w:tcPr>
            <w:tcW w:w="1984"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3360" behindDoc="0" locked="0" layoutInCell="1" allowOverlap="1">
                  <wp:simplePos x="0" y="0"/>
                  <wp:positionH relativeFrom="column">
                    <wp:posOffset>9525</wp:posOffset>
                  </wp:positionH>
                  <wp:positionV relativeFrom="paragraph">
                    <wp:posOffset>28575</wp:posOffset>
                  </wp:positionV>
                  <wp:extent cx="1104900" cy="714375"/>
                  <wp:effectExtent l="0" t="0" r="0" b="9525"/>
                  <wp:wrapNone/>
                  <wp:docPr id="36" name="Picture 36"/>
                  <wp:cNvGraphicFramePr/>
                  <a:graphic xmlns:a="http://schemas.openxmlformats.org/drawingml/2006/main">
                    <a:graphicData uri="http://schemas.openxmlformats.org/drawingml/2006/picture">
                      <pic:pic xmlns:pic="http://schemas.openxmlformats.org/drawingml/2006/picture">
                        <pic:nvPicPr>
                          <pic:cNvPr id="27" name="Picture 26"/>
                          <pic:cNvPicPr/>
                        </pic:nvPicPr>
                        <pic:blipFill>
                          <a:blip r:embed="rId7" cstate="print"/>
                          <a:srcRect/>
                          <a:stretch>
                            <a:fillRect/>
                          </a:stretch>
                        </pic:blipFill>
                        <pic:spPr bwMode="auto">
                          <a:xfrm>
                            <a:off x="0" y="0"/>
                            <a:ext cx="1093871" cy="70735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r>
          </w:tbl>
          <w:p w:rsidR="00366B80" w:rsidRPr="00690EDA" w:rsidRDefault="00366B80" w:rsidP="00055582">
            <w:pPr>
              <w:rPr>
                <w:rFonts w:ascii="Calibri" w:hAnsi="Calibri"/>
                <w:color w:val="000000"/>
                <w:sz w:val="22"/>
                <w:szCs w:val="22"/>
                <w:lang w:eastAsia="hr-HR"/>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250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280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9</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2,52</w:t>
            </w: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EC0BD6" w:rsidTr="00055582">
        <w:trPr>
          <w:trHeight w:val="300"/>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w:t>
            </w:r>
          </w:p>
        </w:tc>
        <w:tc>
          <w:tcPr>
            <w:tcW w:w="201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GAMALUX LVC-16                    NAV-T 400 W;                 TEP</w:t>
            </w:r>
          </w:p>
        </w:tc>
        <w:tc>
          <w:tcPr>
            <w:tcW w:w="1984"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jc w:val="cente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2336" behindDoc="0" locked="0" layoutInCell="1" allowOverlap="1">
                  <wp:simplePos x="0" y="0"/>
                  <wp:positionH relativeFrom="column">
                    <wp:posOffset>9525</wp:posOffset>
                  </wp:positionH>
                  <wp:positionV relativeFrom="paragraph">
                    <wp:posOffset>28575</wp:posOffset>
                  </wp:positionV>
                  <wp:extent cx="1104900" cy="714375"/>
                  <wp:effectExtent l="0" t="0" r="0" b="9525"/>
                  <wp:wrapNone/>
                  <wp:docPr id="35" name="Picture 3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7" cstate="print"/>
                          <a:srcRect/>
                          <a:stretch>
                            <a:fillRect/>
                          </a:stretch>
                        </pic:blipFill>
                        <pic:spPr bwMode="auto">
                          <a:xfrm>
                            <a:off x="0" y="0"/>
                            <a:ext cx="1093871" cy="70735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r>
          </w:tbl>
          <w:p w:rsidR="00366B80" w:rsidRPr="00690EDA" w:rsidRDefault="00366B80" w:rsidP="00055582">
            <w:pPr>
              <w:jc w:val="center"/>
              <w:rPr>
                <w:rFonts w:ascii="Calibri" w:hAnsi="Calibri"/>
                <w:color w:val="000000"/>
                <w:sz w:val="22"/>
                <w:szCs w:val="22"/>
                <w:lang w:eastAsia="hr-HR"/>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436</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6</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2,62</w:t>
            </w: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3.</w:t>
            </w:r>
          </w:p>
        </w:tc>
        <w:tc>
          <w:tcPr>
            <w:tcW w:w="201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GAMALUX LVC-16THV                      VTHF 400 W;                 TEP</w:t>
            </w:r>
          </w:p>
        </w:tc>
        <w:tc>
          <w:tcPr>
            <w:tcW w:w="1984"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0288" behindDoc="0" locked="0" layoutInCell="1" allowOverlap="1">
                  <wp:simplePos x="0" y="0"/>
                  <wp:positionH relativeFrom="column">
                    <wp:posOffset>0</wp:posOffset>
                  </wp:positionH>
                  <wp:positionV relativeFrom="paragraph">
                    <wp:posOffset>47625</wp:posOffset>
                  </wp:positionV>
                  <wp:extent cx="1123950" cy="638175"/>
                  <wp:effectExtent l="0" t="0" r="0" b="9525"/>
                  <wp:wrapNone/>
                  <wp:docPr id="34" name="Picture 34"/>
                  <wp:cNvGraphicFramePr/>
                  <a:graphic xmlns:a="http://schemas.openxmlformats.org/drawingml/2006/main">
                    <a:graphicData uri="http://schemas.openxmlformats.org/drawingml/2006/picture">
                      <pic:pic xmlns:pic="http://schemas.openxmlformats.org/drawingml/2006/picture">
                        <pic:nvPicPr>
                          <pic:cNvPr id="24" name="Picture 23"/>
                          <pic:cNvPicPr/>
                        </pic:nvPicPr>
                        <pic:blipFill>
                          <a:blip r:embed="rId8" cstate="print"/>
                          <a:srcRect/>
                          <a:stretch>
                            <a:fillRect/>
                          </a:stretch>
                        </pic:blipFill>
                        <pic:spPr bwMode="auto">
                          <a:xfrm>
                            <a:off x="0" y="0"/>
                            <a:ext cx="1104899" cy="63817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r>
          </w:tbl>
          <w:p w:rsidR="00366B80" w:rsidRPr="00690EDA" w:rsidRDefault="00366B80" w:rsidP="00055582">
            <w:pPr>
              <w:rPr>
                <w:rFonts w:ascii="Calibri" w:hAnsi="Calibri"/>
                <w:color w:val="000000"/>
                <w:sz w:val="22"/>
                <w:szCs w:val="22"/>
                <w:lang w:eastAsia="hr-HR"/>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425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5</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2,13</w:t>
            </w: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auto"/>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w:t>
            </w:r>
          </w:p>
        </w:tc>
        <w:tc>
          <w:tcPr>
            <w:tcW w:w="201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KAOS 2                           1x250 W;                     TEP</w:t>
            </w:r>
          </w:p>
        </w:tc>
        <w:tc>
          <w:tcPr>
            <w:tcW w:w="1984"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095375" cy="733425"/>
                  <wp:effectExtent l="0" t="0" r="9525" b="0"/>
                  <wp:wrapNone/>
                  <wp:docPr id="33" name="Picture 33"/>
                  <wp:cNvGraphicFramePr/>
                  <a:graphic xmlns:a="http://schemas.openxmlformats.org/drawingml/2006/main">
                    <a:graphicData uri="http://schemas.openxmlformats.org/drawingml/2006/picture">
                      <pic:pic xmlns:pic="http://schemas.openxmlformats.org/drawingml/2006/picture">
                        <pic:nvPicPr>
                          <pic:cNvPr id="25" name="Picture 24"/>
                          <pic:cNvPicPr/>
                        </pic:nvPicPr>
                        <pic:blipFill>
                          <a:blip r:embed="rId9" cstate="print"/>
                          <a:srcRect/>
                          <a:stretch>
                            <a:fillRect/>
                          </a:stretch>
                        </pic:blipFill>
                        <pic:spPr bwMode="auto">
                          <a:xfrm>
                            <a:off x="0" y="0"/>
                            <a:ext cx="1078330" cy="71688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r>
          </w:tbl>
          <w:p w:rsidR="00366B80" w:rsidRPr="00690EDA" w:rsidRDefault="00366B80" w:rsidP="00055582">
            <w:pPr>
              <w:rPr>
                <w:rFonts w:ascii="Calibri" w:hAnsi="Calibri"/>
                <w:color w:val="000000"/>
                <w:sz w:val="22"/>
                <w:szCs w:val="22"/>
                <w:lang w:eastAsia="hr-HR"/>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250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280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2,80</w:t>
            </w: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82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2012"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984"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975605" w:rsidTr="00055582">
        <w:trPr>
          <w:trHeight w:val="300"/>
        </w:trPr>
        <w:tc>
          <w:tcPr>
            <w:tcW w:w="680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UKUPNO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14,34</w:t>
            </w:r>
          </w:p>
        </w:tc>
      </w:tr>
      <w:tr w:rsidR="00366B80" w:rsidRPr="00975605" w:rsidTr="00055582">
        <w:trPr>
          <w:trHeight w:val="300"/>
        </w:trPr>
        <w:tc>
          <w:tcPr>
            <w:tcW w:w="6805" w:type="dxa"/>
            <w:gridSpan w:val="5"/>
            <w:vMerge/>
            <w:tcBorders>
              <w:top w:val="single" w:sz="4" w:space="0" w:color="auto"/>
              <w:left w:val="single" w:sz="4" w:space="0" w:color="auto"/>
              <w:bottom w:val="single" w:sz="4" w:space="0" w:color="000000"/>
              <w:right w:val="single" w:sz="4" w:space="0" w:color="000000"/>
            </w:tcBorders>
            <w:vAlign w:val="center"/>
            <w:hideMark/>
          </w:tcPr>
          <w:p w:rsidR="00366B80" w:rsidRPr="00975605" w:rsidRDefault="00366B80" w:rsidP="00055582">
            <w:pPr>
              <w:rPr>
                <w:rFonts w:ascii="Calibri" w:hAnsi="Calibri"/>
                <w:color w:val="000000"/>
                <w:sz w:val="18"/>
                <w:szCs w:val="18"/>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366B80" w:rsidRPr="00975605" w:rsidRDefault="00366B80" w:rsidP="00055582">
            <w:pPr>
              <w:rPr>
                <w:rFonts w:ascii="Calibri" w:hAnsi="Calibri"/>
                <w:color w:val="000000"/>
                <w:sz w:val="18"/>
                <w:szCs w:val="18"/>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366B80" w:rsidRPr="00975605" w:rsidRDefault="00366B80" w:rsidP="00055582">
            <w:pPr>
              <w:rPr>
                <w:rFonts w:ascii="Calibri" w:hAnsi="Calibri"/>
                <w:color w:val="000000"/>
                <w:sz w:val="18"/>
                <w:szCs w:val="18"/>
                <w:lang w:eastAsia="hr-HR"/>
              </w:rPr>
            </w:pPr>
          </w:p>
        </w:tc>
      </w:tr>
    </w:tbl>
    <w:p w:rsidR="00366B80" w:rsidRDefault="00366B80" w:rsidP="00366B80">
      <w:pPr>
        <w:ind w:left="-142"/>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r>
        <w:rPr>
          <w:rFonts w:ascii="Arial" w:hAnsi="Arial"/>
          <w:sz w:val="22"/>
          <w:szCs w:val="22"/>
        </w:rPr>
        <w:lastRenderedPageBreak/>
        <w:t xml:space="preserve">Izgled reflektora, snaga izvora svjetlosti, snaga reflektora, broj reflektora i ukupna snaga reflektora za svih 5 tipova </w:t>
      </w:r>
      <w:proofErr w:type="spellStart"/>
      <w:r>
        <w:rPr>
          <w:rFonts w:ascii="Arial" w:hAnsi="Arial"/>
          <w:sz w:val="22"/>
          <w:szCs w:val="22"/>
        </w:rPr>
        <w:t>data</w:t>
      </w:r>
      <w:proofErr w:type="spellEnd"/>
      <w:r>
        <w:rPr>
          <w:rFonts w:ascii="Arial" w:hAnsi="Arial"/>
          <w:sz w:val="22"/>
          <w:szCs w:val="22"/>
        </w:rPr>
        <w:t xml:space="preserve"> je u „Tablica prikaza postojećih reflektora“.</w:t>
      </w: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tbl>
      <w:tblPr>
        <w:tblW w:w="9498" w:type="dxa"/>
        <w:tblInd w:w="-34" w:type="dxa"/>
        <w:tblLayout w:type="fixed"/>
        <w:tblLook w:val="04A0" w:firstRow="1" w:lastRow="0" w:firstColumn="1" w:lastColumn="0" w:noHBand="0" w:noVBand="1"/>
      </w:tblPr>
      <w:tblGrid>
        <w:gridCol w:w="876"/>
        <w:gridCol w:w="1818"/>
        <w:gridCol w:w="2126"/>
        <w:gridCol w:w="1134"/>
        <w:gridCol w:w="1134"/>
        <w:gridCol w:w="1134"/>
        <w:gridCol w:w="1276"/>
      </w:tblGrid>
      <w:tr w:rsidR="00366B80" w:rsidRPr="005B6203" w:rsidTr="00055582">
        <w:trPr>
          <w:trHeight w:val="300"/>
        </w:trPr>
        <w:tc>
          <w:tcPr>
            <w:tcW w:w="9498" w:type="dxa"/>
            <w:gridSpan w:val="7"/>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366B80" w:rsidRPr="005B6203" w:rsidRDefault="00366B80" w:rsidP="00055582">
            <w:pPr>
              <w:jc w:val="center"/>
              <w:rPr>
                <w:rFonts w:ascii="Calibri" w:hAnsi="Calibri"/>
                <w:color w:val="000000"/>
                <w:sz w:val="22"/>
                <w:szCs w:val="22"/>
                <w:lang w:eastAsia="hr-HR"/>
              </w:rPr>
            </w:pPr>
            <w:r w:rsidRPr="005B6203">
              <w:rPr>
                <w:rFonts w:ascii="Calibri" w:hAnsi="Calibri"/>
                <w:color w:val="000000"/>
                <w:sz w:val="22"/>
                <w:szCs w:val="22"/>
                <w:lang w:eastAsia="hr-HR"/>
              </w:rPr>
              <w:t>TABLICA PRIKAZA POSTOJEĆIH REFLEKTORA</w:t>
            </w:r>
          </w:p>
        </w:tc>
      </w:tr>
      <w:tr w:rsidR="00366B80" w:rsidRPr="005B6203" w:rsidTr="00055582">
        <w:trPr>
          <w:trHeight w:val="300"/>
        </w:trPr>
        <w:tc>
          <w:tcPr>
            <w:tcW w:w="9498" w:type="dxa"/>
            <w:gridSpan w:val="7"/>
            <w:vMerge/>
            <w:tcBorders>
              <w:top w:val="single" w:sz="4" w:space="0" w:color="auto"/>
              <w:left w:val="single" w:sz="4" w:space="0" w:color="auto"/>
              <w:bottom w:val="single" w:sz="4" w:space="0" w:color="000000"/>
              <w:right w:val="single" w:sz="4" w:space="0" w:color="000000"/>
            </w:tcBorders>
            <w:vAlign w:val="center"/>
            <w:hideMark/>
          </w:tcPr>
          <w:p w:rsidR="00366B80" w:rsidRPr="005B6203" w:rsidRDefault="00366B80" w:rsidP="00055582">
            <w:pPr>
              <w:jc w:val="center"/>
              <w:rPr>
                <w:rFonts w:ascii="Calibri" w:hAnsi="Calibri"/>
                <w:color w:val="000000"/>
                <w:sz w:val="22"/>
                <w:szCs w:val="22"/>
                <w:lang w:eastAsia="hr-HR"/>
              </w:rPr>
            </w:pPr>
          </w:p>
        </w:tc>
      </w:tr>
      <w:tr w:rsidR="00366B80" w:rsidRPr="005B6203" w:rsidTr="00055582">
        <w:trPr>
          <w:trHeight w:val="300"/>
        </w:trPr>
        <w:tc>
          <w:tcPr>
            <w:tcW w:w="876"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5B6203" w:rsidRDefault="00366B80" w:rsidP="00055582">
            <w:pPr>
              <w:jc w:val="center"/>
              <w:rPr>
                <w:rFonts w:ascii="Calibri" w:hAnsi="Calibri"/>
                <w:color w:val="000000"/>
                <w:sz w:val="22"/>
                <w:szCs w:val="22"/>
                <w:lang w:eastAsia="hr-HR"/>
              </w:rPr>
            </w:pPr>
            <w:r w:rsidRPr="005B6203">
              <w:rPr>
                <w:rFonts w:ascii="Calibri" w:hAnsi="Calibri"/>
                <w:color w:val="000000"/>
                <w:sz w:val="22"/>
                <w:szCs w:val="22"/>
                <w:lang w:eastAsia="hr-HR"/>
              </w:rPr>
              <w:t>Redni broj</w:t>
            </w:r>
          </w:p>
        </w:tc>
        <w:tc>
          <w:tcPr>
            <w:tcW w:w="1818" w:type="dxa"/>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366B80" w:rsidRPr="005B6203" w:rsidRDefault="00366B80" w:rsidP="00055582">
            <w:pPr>
              <w:jc w:val="center"/>
              <w:rPr>
                <w:rFonts w:ascii="Calibri" w:hAnsi="Calibri"/>
                <w:color w:val="000000"/>
                <w:sz w:val="22"/>
                <w:szCs w:val="22"/>
                <w:lang w:eastAsia="hr-HR"/>
              </w:rPr>
            </w:pPr>
            <w:r w:rsidRPr="005B6203">
              <w:rPr>
                <w:rFonts w:ascii="Calibri" w:hAnsi="Calibri"/>
                <w:color w:val="000000"/>
                <w:sz w:val="22"/>
                <w:szCs w:val="22"/>
                <w:lang w:eastAsia="hr-HR"/>
              </w:rPr>
              <w:t>Tip reflektora</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366B80" w:rsidRPr="005B6203" w:rsidRDefault="00366B80" w:rsidP="00055582">
            <w:pPr>
              <w:jc w:val="center"/>
              <w:rPr>
                <w:rFonts w:ascii="Calibri" w:hAnsi="Calibri"/>
                <w:color w:val="000000"/>
                <w:sz w:val="22"/>
                <w:szCs w:val="22"/>
                <w:lang w:eastAsia="hr-HR"/>
              </w:rPr>
            </w:pPr>
            <w:r w:rsidRPr="005B6203">
              <w:rPr>
                <w:rFonts w:ascii="Calibri" w:hAnsi="Calibri"/>
                <w:color w:val="000000"/>
                <w:sz w:val="22"/>
                <w:szCs w:val="22"/>
                <w:lang w:eastAsia="hr-HR"/>
              </w:rPr>
              <w:t>Izgled reflektora</w:t>
            </w:r>
          </w:p>
        </w:tc>
        <w:tc>
          <w:tcPr>
            <w:tcW w:w="1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5B6203" w:rsidRDefault="00366B80" w:rsidP="00055582">
            <w:pPr>
              <w:jc w:val="center"/>
              <w:rPr>
                <w:rFonts w:ascii="Calibri" w:hAnsi="Calibri"/>
                <w:color w:val="000000"/>
                <w:sz w:val="22"/>
                <w:szCs w:val="22"/>
                <w:lang w:eastAsia="hr-HR"/>
              </w:rPr>
            </w:pPr>
            <w:r w:rsidRPr="005B6203">
              <w:rPr>
                <w:rFonts w:ascii="Calibri" w:hAnsi="Calibri"/>
                <w:color w:val="000000"/>
                <w:sz w:val="22"/>
                <w:szCs w:val="22"/>
                <w:lang w:eastAsia="hr-HR"/>
              </w:rPr>
              <w:t>Snaga izvora svjetlosti (W)</w:t>
            </w:r>
          </w:p>
        </w:tc>
        <w:tc>
          <w:tcPr>
            <w:tcW w:w="1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5B6203" w:rsidRDefault="00366B80" w:rsidP="00055582">
            <w:pPr>
              <w:jc w:val="center"/>
              <w:rPr>
                <w:rFonts w:ascii="Calibri" w:hAnsi="Calibri"/>
                <w:color w:val="000000"/>
                <w:sz w:val="22"/>
                <w:szCs w:val="22"/>
                <w:lang w:eastAsia="hr-HR"/>
              </w:rPr>
            </w:pPr>
            <w:r w:rsidRPr="005B6203">
              <w:rPr>
                <w:rFonts w:ascii="Calibri" w:hAnsi="Calibri"/>
                <w:color w:val="000000"/>
                <w:sz w:val="22"/>
                <w:szCs w:val="22"/>
                <w:lang w:eastAsia="hr-HR"/>
              </w:rPr>
              <w:t>Snaga reflektora (W)</w:t>
            </w:r>
          </w:p>
        </w:tc>
        <w:tc>
          <w:tcPr>
            <w:tcW w:w="1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5B6203" w:rsidRDefault="00366B80" w:rsidP="00055582">
            <w:pPr>
              <w:jc w:val="center"/>
              <w:rPr>
                <w:rFonts w:ascii="Calibri" w:hAnsi="Calibri"/>
                <w:color w:val="000000"/>
                <w:sz w:val="22"/>
                <w:szCs w:val="22"/>
                <w:lang w:eastAsia="hr-HR"/>
              </w:rPr>
            </w:pPr>
            <w:r w:rsidRPr="005B6203">
              <w:rPr>
                <w:rFonts w:ascii="Calibri" w:hAnsi="Calibri"/>
                <w:color w:val="000000"/>
                <w:sz w:val="22"/>
                <w:szCs w:val="22"/>
                <w:lang w:eastAsia="hr-HR"/>
              </w:rPr>
              <w:t>Broj reflektora (kom)</w:t>
            </w:r>
          </w:p>
        </w:tc>
        <w:tc>
          <w:tcPr>
            <w:tcW w:w="1276"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5B6203" w:rsidRDefault="00366B80" w:rsidP="00055582">
            <w:pPr>
              <w:jc w:val="center"/>
              <w:rPr>
                <w:rFonts w:ascii="Calibri" w:hAnsi="Calibri"/>
                <w:color w:val="000000"/>
                <w:sz w:val="22"/>
                <w:szCs w:val="22"/>
                <w:lang w:eastAsia="hr-HR"/>
              </w:rPr>
            </w:pPr>
            <w:r w:rsidRPr="005B6203">
              <w:rPr>
                <w:rFonts w:ascii="Calibri" w:hAnsi="Calibri"/>
                <w:color w:val="000000"/>
                <w:sz w:val="22"/>
                <w:szCs w:val="22"/>
                <w:lang w:eastAsia="hr-HR"/>
              </w:rPr>
              <w:t>Ukupna snaga  (kW)</w:t>
            </w:r>
          </w:p>
        </w:tc>
      </w:tr>
      <w:tr w:rsidR="00366B80" w:rsidRPr="005B6203" w:rsidTr="00055582">
        <w:trPr>
          <w:trHeight w:val="495"/>
        </w:trPr>
        <w:tc>
          <w:tcPr>
            <w:tcW w:w="876" w:type="dxa"/>
            <w:vMerge/>
            <w:tcBorders>
              <w:top w:val="nil"/>
              <w:left w:val="single" w:sz="4" w:space="0" w:color="auto"/>
              <w:bottom w:val="single" w:sz="4" w:space="0" w:color="auto"/>
              <w:right w:val="single" w:sz="4" w:space="0" w:color="auto"/>
            </w:tcBorders>
            <w:vAlign w:val="center"/>
            <w:hideMark/>
          </w:tcPr>
          <w:p w:rsidR="00366B80" w:rsidRPr="005B6203" w:rsidRDefault="00366B80" w:rsidP="00055582">
            <w:pPr>
              <w:jc w:val="cente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5B6203" w:rsidRDefault="00366B80" w:rsidP="00055582">
            <w:pPr>
              <w:jc w:val="center"/>
              <w:rPr>
                <w:rFonts w:ascii="Calibri" w:hAnsi="Calibri"/>
                <w:color w:val="000000"/>
                <w:sz w:val="22"/>
                <w:szCs w:val="22"/>
                <w:lang w:eastAsia="hr-HR"/>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366B80" w:rsidRPr="005B6203"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5B6203"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5B6203"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5B6203" w:rsidRDefault="00366B80" w:rsidP="00055582">
            <w:pPr>
              <w:jc w:val="center"/>
              <w:rPr>
                <w:rFonts w:ascii="Calibri" w:hAnsi="Calibri"/>
                <w:color w:val="000000"/>
                <w:sz w:val="22"/>
                <w:szCs w:val="22"/>
                <w:lang w:eastAsia="hr-HR"/>
              </w:rPr>
            </w:pPr>
          </w:p>
        </w:tc>
        <w:tc>
          <w:tcPr>
            <w:tcW w:w="1276" w:type="dxa"/>
            <w:vMerge/>
            <w:tcBorders>
              <w:top w:val="nil"/>
              <w:left w:val="single" w:sz="4" w:space="0" w:color="auto"/>
              <w:bottom w:val="single" w:sz="4" w:space="0" w:color="auto"/>
              <w:right w:val="single" w:sz="4" w:space="0" w:color="auto"/>
            </w:tcBorders>
            <w:vAlign w:val="center"/>
            <w:hideMark/>
          </w:tcPr>
          <w:p w:rsidR="00366B80" w:rsidRPr="005B6203" w:rsidRDefault="00366B80" w:rsidP="00055582">
            <w:pPr>
              <w:jc w:val="center"/>
              <w:rPr>
                <w:rFonts w:ascii="Calibri" w:hAnsi="Calibri"/>
                <w:color w:val="000000"/>
                <w:sz w:val="22"/>
                <w:szCs w:val="22"/>
                <w:lang w:eastAsia="hr-HR"/>
              </w:rPr>
            </w:pPr>
          </w:p>
        </w:tc>
      </w:tr>
      <w:tr w:rsidR="00366B80" w:rsidRPr="00690EDA" w:rsidTr="00055582">
        <w:trPr>
          <w:trHeight w:val="300"/>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w:t>
            </w:r>
          </w:p>
        </w:tc>
        <w:tc>
          <w:tcPr>
            <w:tcW w:w="18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CROSS A                       HPI-T 250 W;   TEP</w:t>
            </w:r>
          </w:p>
        </w:tc>
        <w:tc>
          <w:tcPr>
            <w:tcW w:w="2126"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jc w:val="cente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8480" behindDoc="0" locked="0" layoutInCell="1" allowOverlap="1">
                  <wp:simplePos x="0" y="0"/>
                  <wp:positionH relativeFrom="column">
                    <wp:posOffset>200025</wp:posOffset>
                  </wp:positionH>
                  <wp:positionV relativeFrom="paragraph">
                    <wp:posOffset>19050</wp:posOffset>
                  </wp:positionV>
                  <wp:extent cx="723900" cy="7239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9" name="Picture 28"/>
                          <pic:cNvPicPr/>
                        </pic:nvPicPr>
                        <pic:blipFill>
                          <a:blip r:embed="rId10" cstate="print"/>
                          <a:srcRect/>
                          <a:stretch>
                            <a:fillRect/>
                          </a:stretch>
                        </pic:blipFill>
                        <pic:spPr bwMode="auto">
                          <a:xfrm>
                            <a:off x="0" y="0"/>
                            <a:ext cx="707362" cy="7118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r>
          </w:tbl>
          <w:p w:rsidR="00366B80" w:rsidRPr="00690EDA" w:rsidRDefault="00366B80" w:rsidP="00055582">
            <w:pPr>
              <w:jc w:val="center"/>
              <w:rPr>
                <w:rFonts w:ascii="Calibri" w:hAnsi="Calibri"/>
                <w:color w:val="000000"/>
                <w:sz w:val="22"/>
                <w:szCs w:val="22"/>
                <w:lang w:eastAsia="hr-HR"/>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250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292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8</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2,34</w:t>
            </w: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276"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r>
      <w:tr w:rsidR="00366B80" w:rsidRPr="00690EDA" w:rsidTr="00055582">
        <w:trPr>
          <w:trHeight w:val="300"/>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w:t>
            </w:r>
          </w:p>
        </w:tc>
        <w:tc>
          <w:tcPr>
            <w:tcW w:w="18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CONTINENTAL AS          HPI-T 1000 W;    C-LUCE</w:t>
            </w:r>
          </w:p>
        </w:tc>
        <w:tc>
          <w:tcPr>
            <w:tcW w:w="2126"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jc w:val="cente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7456" behindDoc="0" locked="0" layoutInCell="1" allowOverlap="1">
                  <wp:simplePos x="0" y="0"/>
                  <wp:positionH relativeFrom="column">
                    <wp:posOffset>161925</wp:posOffset>
                  </wp:positionH>
                  <wp:positionV relativeFrom="paragraph">
                    <wp:posOffset>9525</wp:posOffset>
                  </wp:positionV>
                  <wp:extent cx="790575" cy="742950"/>
                  <wp:effectExtent l="0" t="0" r="9525"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11" cstate="print"/>
                          <a:srcRect/>
                          <a:stretch>
                            <a:fillRect/>
                          </a:stretch>
                        </pic:blipFill>
                        <pic:spPr bwMode="auto">
                          <a:xfrm>
                            <a:off x="0" y="0"/>
                            <a:ext cx="782553" cy="72690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r>
          </w:tbl>
          <w:p w:rsidR="00366B80" w:rsidRPr="00690EDA" w:rsidRDefault="00366B80" w:rsidP="00055582">
            <w:pPr>
              <w:jc w:val="center"/>
              <w:rPr>
                <w:rFonts w:ascii="Calibri" w:hAnsi="Calibri"/>
                <w:color w:val="000000"/>
                <w:sz w:val="22"/>
                <w:szCs w:val="22"/>
                <w:lang w:eastAsia="hr-HR"/>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1140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13,68</w:t>
            </w: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6B80" w:rsidRPr="00690EDA" w:rsidRDefault="00366B80" w:rsidP="00055582">
            <w:pPr>
              <w:jc w:val="center"/>
              <w:rPr>
                <w:rFonts w:ascii="Calibri" w:hAnsi="Calibri"/>
                <w:color w:val="000000"/>
                <w:sz w:val="22"/>
                <w:szCs w:val="22"/>
                <w:lang w:eastAsia="hr-HR"/>
              </w:rPr>
            </w:pPr>
          </w:p>
        </w:tc>
      </w:tr>
      <w:tr w:rsidR="00366B80" w:rsidRPr="00690EDA" w:rsidTr="00055582">
        <w:trPr>
          <w:trHeight w:val="300"/>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3.</w:t>
            </w:r>
          </w:p>
        </w:tc>
        <w:tc>
          <w:tcPr>
            <w:tcW w:w="18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CROSS AS                       HPI-T 400 W;     C-LUCE</w:t>
            </w:r>
          </w:p>
        </w:tc>
        <w:tc>
          <w:tcPr>
            <w:tcW w:w="2126"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jc w:val="cente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4384" behindDoc="0" locked="0" layoutInCell="1" allowOverlap="1">
                  <wp:simplePos x="0" y="0"/>
                  <wp:positionH relativeFrom="column">
                    <wp:posOffset>200025</wp:posOffset>
                  </wp:positionH>
                  <wp:positionV relativeFrom="paragraph">
                    <wp:posOffset>19050</wp:posOffset>
                  </wp:positionV>
                  <wp:extent cx="714375" cy="723900"/>
                  <wp:effectExtent l="0" t="0" r="9525" b="0"/>
                  <wp:wrapNone/>
                  <wp:docPr id="23" name="Picture 23"/>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a:blip r:embed="rId10" cstate="print"/>
                          <a:srcRect/>
                          <a:stretch>
                            <a:fillRect/>
                          </a:stretch>
                        </pic:blipFill>
                        <pic:spPr bwMode="auto">
                          <a:xfrm>
                            <a:off x="0" y="0"/>
                            <a:ext cx="707362" cy="7118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jc w:val="center"/>
                    <w:rPr>
                      <w:rFonts w:ascii="Calibri" w:hAnsi="Calibri"/>
                      <w:color w:val="000000"/>
                      <w:sz w:val="22"/>
                      <w:szCs w:val="22"/>
                      <w:lang w:eastAsia="hr-HR"/>
                    </w:rPr>
                  </w:pPr>
                </w:p>
              </w:tc>
            </w:tr>
          </w:tbl>
          <w:p w:rsidR="00366B80" w:rsidRPr="00690EDA" w:rsidRDefault="00366B80" w:rsidP="00055582">
            <w:pPr>
              <w:jc w:val="center"/>
              <w:rPr>
                <w:rFonts w:ascii="Calibri" w:hAnsi="Calibri"/>
                <w:color w:val="000000"/>
                <w:sz w:val="22"/>
                <w:szCs w:val="22"/>
                <w:lang w:eastAsia="hr-HR"/>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460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84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38,64</w:t>
            </w: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690EDA" w:rsidTr="00055582">
        <w:trPr>
          <w:trHeight w:val="300"/>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w:t>
            </w:r>
          </w:p>
        </w:tc>
        <w:tc>
          <w:tcPr>
            <w:tcW w:w="18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MVP 507                        HPI-T 1000 W; PHILIPS</w:t>
            </w:r>
          </w:p>
        </w:tc>
        <w:tc>
          <w:tcPr>
            <w:tcW w:w="2126"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5408" behindDoc="0" locked="0" layoutInCell="1" allowOverlap="1">
                  <wp:simplePos x="0" y="0"/>
                  <wp:positionH relativeFrom="column">
                    <wp:posOffset>61595</wp:posOffset>
                  </wp:positionH>
                  <wp:positionV relativeFrom="paragraph">
                    <wp:posOffset>4445</wp:posOffset>
                  </wp:positionV>
                  <wp:extent cx="1028700" cy="74295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0"/>
                          <pic:cNvPicPr/>
                        </pic:nvPicPr>
                        <pic:blipFill>
                          <a:blip r:embed="rId12" cstate="print"/>
                          <a:srcRect/>
                          <a:stretch>
                            <a:fillRect/>
                          </a:stretch>
                        </pic:blipFill>
                        <pic:spPr bwMode="auto">
                          <a:xfrm>
                            <a:off x="0" y="0"/>
                            <a:ext cx="1013159" cy="721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r>
          </w:tbl>
          <w:p w:rsidR="00366B80" w:rsidRPr="00690EDA" w:rsidRDefault="00366B80" w:rsidP="00055582">
            <w:pPr>
              <w:rPr>
                <w:rFonts w:ascii="Calibri" w:hAnsi="Calibri"/>
                <w:color w:val="000000"/>
                <w:sz w:val="22"/>
                <w:szCs w:val="22"/>
                <w:lang w:eastAsia="hr-HR"/>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1041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2,08</w:t>
            </w: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auto"/>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690EDA" w:rsidTr="00055582">
        <w:trPr>
          <w:trHeight w:val="300"/>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5.</w:t>
            </w:r>
          </w:p>
        </w:tc>
        <w:tc>
          <w:tcPr>
            <w:tcW w:w="18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MVP 506                        HPI-T 400 W; PHILIPS</w:t>
            </w:r>
          </w:p>
        </w:tc>
        <w:tc>
          <w:tcPr>
            <w:tcW w:w="2126" w:type="dxa"/>
            <w:vMerge w:val="restart"/>
            <w:tcBorders>
              <w:top w:val="nil"/>
              <w:left w:val="nil"/>
              <w:bottom w:val="single" w:sz="4" w:space="0" w:color="000000"/>
              <w:right w:val="single" w:sz="4" w:space="0" w:color="000000"/>
            </w:tcBorders>
            <w:shd w:val="clear" w:color="auto" w:fill="auto"/>
            <w:noWrap/>
            <w:vAlign w:val="bottom"/>
            <w:hideMark/>
          </w:tcPr>
          <w:p w:rsidR="00366B80" w:rsidRPr="00690EDA"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6432" behindDoc="0" locked="0" layoutInCell="1" allowOverlap="1">
                  <wp:simplePos x="0" y="0"/>
                  <wp:positionH relativeFrom="column">
                    <wp:posOffset>28575</wp:posOffset>
                  </wp:positionH>
                  <wp:positionV relativeFrom="paragraph">
                    <wp:posOffset>57150</wp:posOffset>
                  </wp:positionV>
                  <wp:extent cx="1076325" cy="647700"/>
                  <wp:effectExtent l="0" t="0" r="9525"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1"/>
                          <pic:cNvPicPr/>
                        </pic:nvPicPr>
                        <pic:blipFill>
                          <a:blip r:embed="rId13" cstate="print"/>
                          <a:srcRect/>
                          <a:stretch>
                            <a:fillRect/>
                          </a:stretch>
                        </pic:blipFill>
                        <pic:spPr bwMode="auto">
                          <a:xfrm>
                            <a:off x="0" y="0"/>
                            <a:ext cx="1068304" cy="6416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366B80" w:rsidRPr="00690EDA" w:rsidTr="00055582">
              <w:trPr>
                <w:trHeight w:val="269"/>
                <w:tblCellSpacing w:w="0" w:type="dxa"/>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 </w:t>
                  </w:r>
                </w:p>
              </w:tc>
            </w:tr>
            <w:tr w:rsidR="00366B80" w:rsidRPr="00690EDA" w:rsidTr="00055582">
              <w:trPr>
                <w:trHeight w:val="269"/>
                <w:tblCellSpacing w:w="0" w:type="dxa"/>
              </w:trPr>
              <w:tc>
                <w:tcPr>
                  <w:tcW w:w="1820"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r>
          </w:tbl>
          <w:p w:rsidR="00366B80" w:rsidRPr="00690EDA" w:rsidRDefault="00366B80" w:rsidP="00055582">
            <w:pPr>
              <w:rPr>
                <w:rFonts w:ascii="Calibri" w:hAnsi="Calibri"/>
                <w:color w:val="000000"/>
                <w:sz w:val="22"/>
                <w:szCs w:val="22"/>
                <w:lang w:eastAsia="hr-HR"/>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460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4,60</w:t>
            </w: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690EDA" w:rsidTr="00055582">
        <w:trPr>
          <w:trHeight w:val="300"/>
        </w:trPr>
        <w:tc>
          <w:tcPr>
            <w:tcW w:w="8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818" w:type="dxa"/>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2126" w:type="dxa"/>
            <w:vMerge/>
            <w:tcBorders>
              <w:top w:val="nil"/>
              <w:left w:val="nil"/>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r w:rsidR="00366B80" w:rsidRPr="00690EDA" w:rsidTr="00055582">
        <w:trPr>
          <w:trHeight w:val="300"/>
        </w:trPr>
        <w:tc>
          <w:tcPr>
            <w:tcW w:w="708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UKUPNO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116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690EDA" w:rsidRDefault="00366B80" w:rsidP="00055582">
            <w:pPr>
              <w:jc w:val="center"/>
              <w:rPr>
                <w:rFonts w:ascii="Calibri" w:hAnsi="Calibri"/>
                <w:color w:val="000000"/>
                <w:sz w:val="22"/>
                <w:szCs w:val="22"/>
                <w:lang w:eastAsia="hr-HR"/>
              </w:rPr>
            </w:pPr>
            <w:r w:rsidRPr="00690EDA">
              <w:rPr>
                <w:rFonts w:ascii="Calibri" w:hAnsi="Calibri"/>
                <w:color w:val="000000"/>
                <w:sz w:val="22"/>
                <w:szCs w:val="22"/>
                <w:lang w:eastAsia="hr-HR"/>
              </w:rPr>
              <w:t>61,34</w:t>
            </w:r>
          </w:p>
        </w:tc>
      </w:tr>
      <w:tr w:rsidR="00366B80" w:rsidRPr="00690EDA" w:rsidTr="00055582">
        <w:trPr>
          <w:trHeight w:val="300"/>
        </w:trPr>
        <w:tc>
          <w:tcPr>
            <w:tcW w:w="7088" w:type="dxa"/>
            <w:gridSpan w:val="5"/>
            <w:vMerge/>
            <w:tcBorders>
              <w:top w:val="single" w:sz="4" w:space="0" w:color="auto"/>
              <w:left w:val="single" w:sz="4" w:space="0" w:color="auto"/>
              <w:bottom w:val="single" w:sz="4" w:space="0" w:color="000000"/>
              <w:right w:val="single" w:sz="4" w:space="0" w:color="000000"/>
            </w:tcBorders>
            <w:vAlign w:val="center"/>
            <w:hideMark/>
          </w:tcPr>
          <w:p w:rsidR="00366B80" w:rsidRPr="00690EDA" w:rsidRDefault="00366B80" w:rsidP="00055582">
            <w:pPr>
              <w:rPr>
                <w:rFonts w:ascii="Calibri" w:hAnsi="Calibri"/>
                <w:color w:val="000000"/>
                <w:sz w:val="22"/>
                <w:szCs w:val="22"/>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366B80" w:rsidRPr="00690EDA" w:rsidRDefault="00366B80" w:rsidP="00055582">
            <w:pPr>
              <w:rPr>
                <w:rFonts w:ascii="Calibri" w:hAnsi="Calibri"/>
                <w:color w:val="000000"/>
                <w:sz w:val="22"/>
                <w:szCs w:val="22"/>
                <w:lang w:eastAsia="hr-HR"/>
              </w:rPr>
            </w:pPr>
          </w:p>
        </w:tc>
      </w:tr>
    </w:tbl>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r w:rsidRPr="008A07E6">
        <w:rPr>
          <w:rFonts w:ascii="Arial" w:hAnsi="Arial"/>
          <w:sz w:val="22"/>
          <w:szCs w:val="22"/>
        </w:rPr>
        <w:t xml:space="preserve">Sva rasvjetna mjesta obuhvaćena ovim projektom prikazana su u </w:t>
      </w:r>
      <w:r>
        <w:rPr>
          <w:rFonts w:ascii="Arial" w:hAnsi="Arial"/>
          <w:sz w:val="22"/>
          <w:szCs w:val="22"/>
        </w:rPr>
        <w:t xml:space="preserve">grafičkom dijelu projekta </w:t>
      </w:r>
      <w:r w:rsidRPr="008A07E6">
        <w:rPr>
          <w:rFonts w:ascii="Arial" w:hAnsi="Arial"/>
          <w:sz w:val="22"/>
          <w:szCs w:val="22"/>
        </w:rPr>
        <w:t xml:space="preserve"> </w:t>
      </w:r>
      <w:r>
        <w:rPr>
          <w:rFonts w:ascii="Arial" w:hAnsi="Arial"/>
          <w:sz w:val="22"/>
          <w:szCs w:val="22"/>
        </w:rPr>
        <w:t xml:space="preserve">na </w:t>
      </w:r>
      <w:r w:rsidRPr="008A07E6">
        <w:rPr>
          <w:rFonts w:ascii="Arial" w:hAnsi="Arial"/>
          <w:sz w:val="22"/>
          <w:szCs w:val="22"/>
        </w:rPr>
        <w:t xml:space="preserve"> </w:t>
      </w:r>
      <w:r>
        <w:rPr>
          <w:rFonts w:ascii="Arial" w:hAnsi="Arial"/>
          <w:sz w:val="22"/>
          <w:szCs w:val="22"/>
        </w:rPr>
        <w:t xml:space="preserve">10 situacijskih nacrta koji cijelo područje luke dijele na 9 područja prema namjeni površina tih područja, sve u mjerilu 1:500, s oznakama svih pojedinih mjesta rasvjetnih stupova sa svim podacima o stupovima, međusobnim razmacima, kao i o svjetiljkama i reflektorima na njima. </w:t>
      </w:r>
    </w:p>
    <w:p w:rsidR="00366B80" w:rsidRDefault="00366B80" w:rsidP="00366B80">
      <w:pPr>
        <w:ind w:left="-142"/>
        <w:jc w:val="both"/>
        <w:rPr>
          <w:rFonts w:ascii="Arial" w:hAnsi="Arial"/>
          <w:sz w:val="22"/>
          <w:szCs w:val="22"/>
        </w:rPr>
      </w:pPr>
      <w:r>
        <w:rPr>
          <w:rFonts w:ascii="Arial" w:hAnsi="Arial"/>
          <w:sz w:val="22"/>
          <w:szCs w:val="22"/>
        </w:rPr>
        <w:t xml:space="preserve">U nastavku se radi preglednosti daje  „Tablica prikaza rasvjetnih mjesta Luke Dubrovnik s podatcima o svjetiljkama i reflektorima – Postojeće stanje“. Tablica sadrži podatke o tipu rasvjetnog tijela i proizvođaču, vrsti i snazi izvora svjetlosti, o vrsti i snazi svjetiljke ili reflektora, njihovom broju, ukupnoj instaliranoj snazi i godišnjoj potrošni električne energije kako pojedinačno po rasvjetnim mjestima, tako i o ukupnoj godišnjoj potrošnji električne energije za predviđenih 4100 sati rada vanjske rasvjete za period od jedne godine. </w:t>
      </w: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tbl>
      <w:tblPr>
        <w:tblW w:w="9670" w:type="dxa"/>
        <w:tblInd w:w="-34" w:type="dxa"/>
        <w:tblLook w:val="04A0" w:firstRow="1" w:lastRow="0" w:firstColumn="1" w:lastColumn="0" w:noHBand="0" w:noVBand="1"/>
      </w:tblPr>
      <w:tblGrid>
        <w:gridCol w:w="816"/>
        <w:gridCol w:w="1580"/>
        <w:gridCol w:w="1195"/>
        <w:gridCol w:w="983"/>
        <w:gridCol w:w="983"/>
        <w:gridCol w:w="1050"/>
        <w:gridCol w:w="1050"/>
        <w:gridCol w:w="1050"/>
        <w:gridCol w:w="1217"/>
      </w:tblGrid>
      <w:tr w:rsidR="00366B80" w:rsidRPr="00704F71" w:rsidTr="00055582">
        <w:trPr>
          <w:trHeight w:val="300"/>
        </w:trPr>
        <w:tc>
          <w:tcPr>
            <w:tcW w:w="967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6265D4" w:rsidRDefault="00366B80" w:rsidP="00055582">
            <w:pPr>
              <w:jc w:val="center"/>
              <w:rPr>
                <w:rFonts w:ascii="Arial" w:hAnsi="Arial" w:cs="Arial"/>
                <w:color w:val="000000"/>
              </w:rPr>
            </w:pPr>
            <w:r w:rsidRPr="006265D4">
              <w:rPr>
                <w:rFonts w:ascii="Arial" w:hAnsi="Arial" w:cs="Arial"/>
                <w:color w:val="000000"/>
              </w:rPr>
              <w:t>TABLICA PRIKAZA RASVJETNIH MJESTA LUKE DUBROVNIK S PODACIMA O SVJETILJKAMA I REFLEKTORIMA -  POSTOJEĆE STANJE</w:t>
            </w:r>
          </w:p>
        </w:tc>
      </w:tr>
      <w:tr w:rsidR="00366B80" w:rsidRPr="00704F71" w:rsidTr="00055582">
        <w:trPr>
          <w:trHeight w:val="300"/>
        </w:trPr>
        <w:tc>
          <w:tcPr>
            <w:tcW w:w="9670" w:type="dxa"/>
            <w:gridSpan w:val="9"/>
            <w:vMerge/>
            <w:tcBorders>
              <w:top w:val="single" w:sz="4" w:space="0" w:color="auto"/>
              <w:left w:val="single" w:sz="4" w:space="0" w:color="auto"/>
              <w:bottom w:val="single" w:sz="4" w:space="0" w:color="000000"/>
              <w:right w:val="single" w:sz="4" w:space="0" w:color="000000"/>
            </w:tcBorders>
            <w:vAlign w:val="center"/>
            <w:hideMark/>
          </w:tcPr>
          <w:p w:rsidR="00366B80" w:rsidRPr="00704F71" w:rsidRDefault="00366B80" w:rsidP="00055582">
            <w:pPr>
              <w:rPr>
                <w:rFonts w:ascii="Arial" w:hAnsi="Arial" w:cs="Arial"/>
                <w:color w:val="000000"/>
                <w:sz w:val="18"/>
                <w:szCs w:val="18"/>
              </w:rPr>
            </w:pPr>
          </w:p>
        </w:tc>
      </w:tr>
      <w:tr w:rsidR="00366B80" w:rsidRPr="00704F71"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704F71" w:rsidRDefault="00366B80" w:rsidP="00055582">
            <w:pPr>
              <w:jc w:val="center"/>
              <w:rPr>
                <w:rFonts w:ascii="Arial" w:hAnsi="Arial" w:cs="Arial"/>
                <w:color w:val="000000"/>
                <w:sz w:val="18"/>
                <w:szCs w:val="18"/>
              </w:rPr>
            </w:pPr>
            <w:r w:rsidRPr="00704F71">
              <w:rPr>
                <w:rFonts w:ascii="Arial" w:hAnsi="Arial" w:cs="Arial"/>
                <w:color w:val="000000"/>
                <w:sz w:val="18"/>
                <w:szCs w:val="18"/>
              </w:rPr>
              <w:t>Redni broj</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704F71" w:rsidRDefault="00366B80" w:rsidP="00055582">
            <w:pPr>
              <w:jc w:val="center"/>
              <w:rPr>
                <w:rFonts w:ascii="Arial" w:hAnsi="Arial" w:cs="Arial"/>
                <w:color w:val="000000"/>
                <w:sz w:val="18"/>
                <w:szCs w:val="18"/>
              </w:rPr>
            </w:pPr>
            <w:r w:rsidRPr="00704F71">
              <w:rPr>
                <w:rFonts w:ascii="Arial" w:hAnsi="Arial" w:cs="Arial"/>
                <w:color w:val="000000"/>
                <w:sz w:val="18"/>
                <w:szCs w:val="18"/>
              </w:rPr>
              <w:t>Oznaka mjesta rasvjetnih stupova sa svjetiljkama       ili reflektorima</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704F71" w:rsidRDefault="00366B80" w:rsidP="00055582">
            <w:pPr>
              <w:jc w:val="center"/>
              <w:rPr>
                <w:rFonts w:ascii="Arial" w:hAnsi="Arial" w:cs="Arial"/>
                <w:color w:val="000000"/>
                <w:sz w:val="18"/>
                <w:szCs w:val="18"/>
              </w:rPr>
            </w:pPr>
            <w:r w:rsidRPr="00704F71">
              <w:rPr>
                <w:rFonts w:ascii="Arial" w:hAnsi="Arial" w:cs="Arial"/>
                <w:color w:val="000000"/>
                <w:sz w:val="18"/>
                <w:szCs w:val="18"/>
              </w:rPr>
              <w:t>Tip svjetiljke ili reflektora</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704F71" w:rsidRDefault="00366B80" w:rsidP="00055582">
            <w:pPr>
              <w:jc w:val="center"/>
              <w:rPr>
                <w:rFonts w:ascii="Arial" w:hAnsi="Arial" w:cs="Arial"/>
                <w:color w:val="000000"/>
                <w:sz w:val="18"/>
                <w:szCs w:val="18"/>
              </w:rPr>
            </w:pPr>
            <w:r w:rsidRPr="00704F71">
              <w:rPr>
                <w:rFonts w:ascii="Arial" w:hAnsi="Arial" w:cs="Arial"/>
                <w:color w:val="000000"/>
                <w:sz w:val="18"/>
                <w:szCs w:val="18"/>
              </w:rPr>
              <w:t>Vrsta izvora svjetlosti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704F71" w:rsidRDefault="00366B80" w:rsidP="00055582">
            <w:pPr>
              <w:jc w:val="center"/>
              <w:rPr>
                <w:rFonts w:ascii="Arial" w:hAnsi="Arial" w:cs="Arial"/>
                <w:color w:val="000000"/>
                <w:sz w:val="18"/>
                <w:szCs w:val="18"/>
              </w:rPr>
            </w:pPr>
            <w:r w:rsidRPr="00704F71">
              <w:rPr>
                <w:rFonts w:ascii="Arial" w:hAnsi="Arial" w:cs="Arial"/>
                <w:color w:val="000000"/>
                <w:sz w:val="18"/>
                <w:szCs w:val="18"/>
              </w:rPr>
              <w:t>Snaga izvora svjetlosti (W)</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704F71" w:rsidRDefault="00366B80" w:rsidP="00055582">
            <w:pPr>
              <w:jc w:val="center"/>
              <w:rPr>
                <w:rFonts w:ascii="Arial" w:hAnsi="Arial" w:cs="Arial"/>
                <w:color w:val="000000"/>
                <w:sz w:val="18"/>
                <w:szCs w:val="18"/>
              </w:rPr>
            </w:pPr>
            <w:r w:rsidRPr="00704F71">
              <w:rPr>
                <w:rFonts w:ascii="Arial" w:hAnsi="Arial" w:cs="Arial"/>
                <w:color w:val="000000"/>
                <w:sz w:val="18"/>
                <w:szCs w:val="18"/>
              </w:rPr>
              <w:t>Ukupna snaga svjetiljke ili reflektora (W)</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704F71" w:rsidRDefault="00366B80" w:rsidP="00055582">
            <w:pPr>
              <w:jc w:val="center"/>
              <w:rPr>
                <w:rFonts w:ascii="Arial" w:hAnsi="Arial" w:cs="Arial"/>
                <w:color w:val="000000"/>
                <w:sz w:val="18"/>
                <w:szCs w:val="18"/>
              </w:rPr>
            </w:pPr>
            <w:r w:rsidRPr="00704F71">
              <w:rPr>
                <w:rFonts w:ascii="Arial" w:hAnsi="Arial" w:cs="Arial"/>
                <w:color w:val="000000"/>
                <w:sz w:val="18"/>
                <w:szCs w:val="18"/>
              </w:rPr>
              <w:t xml:space="preserve">Ukupan broj svjetiljki ili reflektora </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704F71" w:rsidRDefault="00366B80" w:rsidP="00055582">
            <w:pPr>
              <w:jc w:val="center"/>
              <w:rPr>
                <w:rFonts w:ascii="Arial" w:hAnsi="Arial" w:cs="Arial"/>
                <w:color w:val="000000"/>
                <w:sz w:val="18"/>
                <w:szCs w:val="18"/>
              </w:rPr>
            </w:pPr>
            <w:r w:rsidRPr="00704F71">
              <w:rPr>
                <w:rFonts w:ascii="Arial" w:hAnsi="Arial" w:cs="Arial"/>
                <w:color w:val="000000"/>
                <w:sz w:val="18"/>
                <w:szCs w:val="18"/>
              </w:rPr>
              <w:t>Ukupna snaga grupe svjetiljki ili reflektora (kW)</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704F71" w:rsidRDefault="00366B80" w:rsidP="00055582">
            <w:pPr>
              <w:jc w:val="center"/>
              <w:rPr>
                <w:rFonts w:ascii="Arial" w:hAnsi="Arial" w:cs="Arial"/>
                <w:color w:val="000000"/>
                <w:sz w:val="18"/>
                <w:szCs w:val="18"/>
              </w:rPr>
            </w:pPr>
            <w:r w:rsidRPr="00704F71">
              <w:rPr>
                <w:rFonts w:ascii="Arial" w:hAnsi="Arial" w:cs="Arial"/>
                <w:color w:val="000000"/>
                <w:sz w:val="18"/>
                <w:szCs w:val="18"/>
              </w:rPr>
              <w:t>Godišnja potrošnja energije grupe svjetiljki ili reflektora (</w:t>
            </w:r>
            <w:proofErr w:type="spellStart"/>
            <w:r w:rsidRPr="00704F71">
              <w:rPr>
                <w:rFonts w:ascii="Arial" w:hAnsi="Arial" w:cs="Arial"/>
                <w:color w:val="000000"/>
                <w:sz w:val="18"/>
                <w:szCs w:val="18"/>
              </w:rPr>
              <w:t>kWh</w:t>
            </w:r>
            <w:proofErr w:type="spellEnd"/>
            <w:r w:rsidRPr="00704F71">
              <w:rPr>
                <w:rFonts w:ascii="Arial" w:hAnsi="Arial" w:cs="Arial"/>
                <w:color w:val="000000"/>
                <w:sz w:val="18"/>
                <w:szCs w:val="18"/>
              </w:rPr>
              <w:t>)</w:t>
            </w: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S1-1,S1-2,  S1-3, S1-4.</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LVC 19 1x250 W </w:t>
            </w:r>
            <w:proofErr w:type="spellStart"/>
            <w:r w:rsidRPr="00316B09">
              <w:rPr>
                <w:rFonts w:ascii="Arial" w:hAnsi="Arial" w:cs="Arial"/>
                <w:color w:val="000000"/>
              </w:rPr>
              <w:t>NaV</w:t>
            </w:r>
            <w:proofErr w:type="spellEnd"/>
            <w:r w:rsidRPr="00316B09">
              <w:rPr>
                <w:rFonts w:ascii="Arial" w:hAnsi="Arial" w:cs="Arial"/>
                <w:color w:val="000000"/>
              </w:rPr>
              <w:t xml:space="preserve"> - TEP</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NAV-E</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250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285,00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1,14</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4.674,00</w:t>
            </w: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S2-1,S2-2.</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CROSS A 250 W           TEP</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MH-T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250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292,00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8</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2,34</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9.577,60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3.</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S3-1,S3-2,</w:t>
            </w:r>
            <w:r>
              <w:rPr>
                <w:rFonts w:ascii="Arial" w:hAnsi="Arial" w:cs="Arial"/>
                <w:color w:val="000000"/>
              </w:rPr>
              <w:t xml:space="preserve">  </w:t>
            </w:r>
            <w:r w:rsidRPr="00316B09">
              <w:rPr>
                <w:rFonts w:ascii="Arial" w:hAnsi="Arial" w:cs="Arial"/>
                <w:color w:val="000000"/>
              </w:rPr>
              <w:t>S3-3, S3-4,</w:t>
            </w:r>
            <w:r>
              <w:rPr>
                <w:rFonts w:ascii="Arial" w:hAnsi="Arial" w:cs="Arial"/>
                <w:color w:val="000000"/>
              </w:rPr>
              <w:t xml:space="preserve"> </w:t>
            </w:r>
            <w:r w:rsidRPr="00316B09">
              <w:rPr>
                <w:rFonts w:ascii="Arial" w:hAnsi="Arial" w:cs="Arial"/>
                <w:color w:val="000000"/>
              </w:rPr>
              <w:t>S5-7.</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LVC 19 1x250 W </w:t>
            </w:r>
            <w:proofErr w:type="spellStart"/>
            <w:r w:rsidRPr="00316B09">
              <w:rPr>
                <w:rFonts w:ascii="Arial" w:hAnsi="Arial" w:cs="Arial"/>
                <w:color w:val="000000"/>
              </w:rPr>
              <w:t>NaV</w:t>
            </w:r>
            <w:proofErr w:type="spellEnd"/>
            <w:r w:rsidRPr="00316B09">
              <w:rPr>
                <w:rFonts w:ascii="Arial" w:hAnsi="Arial" w:cs="Arial"/>
                <w:color w:val="000000"/>
              </w:rPr>
              <w:t xml:space="preserve"> - TEP</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NAV-E</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250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285,00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1,43</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5.842,50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S4-1,S4-2,</w:t>
            </w:r>
            <w:r>
              <w:rPr>
                <w:rFonts w:ascii="Arial" w:hAnsi="Arial" w:cs="Arial"/>
                <w:color w:val="000000"/>
              </w:rPr>
              <w:t xml:space="preserve">   </w:t>
            </w:r>
            <w:r w:rsidRPr="00316B09">
              <w:rPr>
                <w:rFonts w:ascii="Arial" w:hAnsi="Arial" w:cs="Arial"/>
                <w:color w:val="000000"/>
              </w:rPr>
              <w:t>S4-3,              S4-4,S4-5.</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KAOS 2 1x250 W </w:t>
            </w:r>
            <w:proofErr w:type="spellStart"/>
            <w:r w:rsidRPr="00316B09">
              <w:rPr>
                <w:rFonts w:ascii="Arial" w:hAnsi="Arial" w:cs="Arial"/>
                <w:color w:val="000000"/>
              </w:rPr>
              <w:t>NaV</w:t>
            </w:r>
            <w:proofErr w:type="spellEnd"/>
            <w:r w:rsidRPr="00316B09">
              <w:rPr>
                <w:rFonts w:ascii="Arial" w:hAnsi="Arial" w:cs="Arial"/>
                <w:color w:val="000000"/>
              </w:rPr>
              <w:t xml:space="preserve"> - TEP</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NAV-T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250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280,00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2,80</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11.480,00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5.</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Default="00366B80" w:rsidP="00055582">
            <w:pPr>
              <w:jc w:val="center"/>
              <w:rPr>
                <w:rFonts w:ascii="Arial" w:hAnsi="Arial" w:cs="Arial"/>
                <w:color w:val="000000"/>
              </w:rPr>
            </w:pPr>
            <w:r w:rsidRPr="00316B09">
              <w:rPr>
                <w:rFonts w:ascii="Arial" w:hAnsi="Arial" w:cs="Arial"/>
                <w:color w:val="000000"/>
              </w:rPr>
              <w:t>S5-1,S5-2,</w:t>
            </w:r>
          </w:p>
          <w:p w:rsidR="00366B80" w:rsidRPr="00316B09" w:rsidRDefault="00366B80" w:rsidP="00055582">
            <w:pPr>
              <w:jc w:val="center"/>
              <w:rPr>
                <w:rFonts w:ascii="Arial" w:hAnsi="Arial" w:cs="Arial"/>
                <w:color w:val="000000"/>
              </w:rPr>
            </w:pPr>
            <w:r w:rsidRPr="00316B09">
              <w:rPr>
                <w:rFonts w:ascii="Arial" w:hAnsi="Arial" w:cs="Arial"/>
                <w:color w:val="000000"/>
              </w:rPr>
              <w:t>S5-3, S5-4</w:t>
            </w:r>
            <w:r>
              <w:rPr>
                <w:rFonts w:ascii="Arial" w:hAnsi="Arial" w:cs="Arial"/>
                <w:color w:val="000000"/>
              </w:rPr>
              <w:t xml:space="preserve">  </w:t>
            </w:r>
            <w:r w:rsidRPr="00316B09">
              <w:rPr>
                <w:rFonts w:ascii="Arial" w:hAnsi="Arial" w:cs="Arial"/>
                <w:color w:val="000000"/>
              </w:rPr>
              <w:t>,S5-5, S5-6.</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LVC 19 1x250 W </w:t>
            </w:r>
            <w:proofErr w:type="spellStart"/>
            <w:r w:rsidRPr="00316B09">
              <w:rPr>
                <w:rFonts w:ascii="Arial" w:hAnsi="Arial" w:cs="Arial"/>
                <w:color w:val="000000"/>
              </w:rPr>
              <w:t>NaV</w:t>
            </w:r>
            <w:proofErr w:type="spellEnd"/>
            <w:r w:rsidRPr="00316B09">
              <w:rPr>
                <w:rFonts w:ascii="Arial" w:hAnsi="Arial" w:cs="Arial"/>
                <w:color w:val="000000"/>
              </w:rPr>
              <w:t xml:space="preserve"> - TEP</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NAV-E</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250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285,00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6</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1,71</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7.011,00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6.</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Default="00366B80" w:rsidP="00055582">
            <w:pPr>
              <w:jc w:val="center"/>
              <w:rPr>
                <w:rFonts w:ascii="Arial" w:hAnsi="Arial" w:cs="Arial"/>
                <w:color w:val="000000"/>
              </w:rPr>
            </w:pPr>
            <w:r w:rsidRPr="00316B09">
              <w:rPr>
                <w:rFonts w:ascii="Arial" w:hAnsi="Arial" w:cs="Arial"/>
                <w:color w:val="000000"/>
              </w:rPr>
              <w:t>S6-1,S6-2,</w:t>
            </w:r>
          </w:p>
          <w:p w:rsidR="00366B80" w:rsidRPr="00316B09" w:rsidRDefault="00366B80" w:rsidP="00055582">
            <w:pPr>
              <w:jc w:val="center"/>
              <w:rPr>
                <w:rFonts w:ascii="Arial" w:hAnsi="Arial" w:cs="Arial"/>
                <w:color w:val="000000"/>
              </w:rPr>
            </w:pPr>
            <w:r w:rsidRPr="00316B09">
              <w:rPr>
                <w:rFonts w:ascii="Arial" w:hAnsi="Arial" w:cs="Arial"/>
                <w:color w:val="000000"/>
              </w:rPr>
              <w:t>S6-3,              S6-4, S6-5.</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GAMALUX         LVC 16THV 1x400 W VTH-TEP</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VTHF</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425,00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2,13</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8.712,50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7.</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S7-1,S7-2,</w:t>
            </w:r>
            <w:r>
              <w:rPr>
                <w:rFonts w:ascii="Arial" w:hAnsi="Arial" w:cs="Arial"/>
                <w:color w:val="000000"/>
              </w:rPr>
              <w:t xml:space="preserve">  </w:t>
            </w:r>
            <w:r w:rsidRPr="00316B09">
              <w:rPr>
                <w:rFonts w:ascii="Arial" w:hAnsi="Arial" w:cs="Arial"/>
                <w:color w:val="000000"/>
              </w:rPr>
              <w:t>S7-3, S7-4,</w:t>
            </w:r>
            <w:r>
              <w:rPr>
                <w:rFonts w:ascii="Arial" w:hAnsi="Arial" w:cs="Arial"/>
                <w:color w:val="000000"/>
              </w:rPr>
              <w:t xml:space="preserve"> </w:t>
            </w:r>
            <w:r w:rsidRPr="00316B09">
              <w:rPr>
                <w:rFonts w:ascii="Arial" w:hAnsi="Arial" w:cs="Arial"/>
                <w:color w:val="000000"/>
              </w:rPr>
              <w:t>S7-5, S7-6,           S7-7,S7-8,</w:t>
            </w:r>
            <w:r>
              <w:rPr>
                <w:rFonts w:ascii="Arial" w:hAnsi="Arial" w:cs="Arial"/>
                <w:color w:val="000000"/>
              </w:rPr>
              <w:t xml:space="preserve">  </w:t>
            </w:r>
            <w:r w:rsidRPr="00316B09">
              <w:rPr>
                <w:rFonts w:ascii="Arial" w:hAnsi="Arial" w:cs="Arial"/>
                <w:color w:val="000000"/>
              </w:rPr>
              <w:t>S7-9.</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GAMALUX         LVC 16 1x250 W </w:t>
            </w:r>
            <w:proofErr w:type="spellStart"/>
            <w:r w:rsidRPr="00316B09">
              <w:rPr>
                <w:rFonts w:ascii="Arial" w:hAnsi="Arial" w:cs="Arial"/>
                <w:color w:val="000000"/>
              </w:rPr>
              <w:t>NaV</w:t>
            </w:r>
            <w:proofErr w:type="spellEnd"/>
            <w:r w:rsidRPr="00316B09">
              <w:rPr>
                <w:rFonts w:ascii="Arial" w:hAnsi="Arial" w:cs="Arial"/>
                <w:color w:val="000000"/>
              </w:rPr>
              <w:t xml:space="preserve"> - TEP</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NAV-T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250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280,00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9</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2,52</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10.332,00</w:t>
            </w: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Redni broj</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Oznaka mjesta rasvjetnih stupova sa svjetiljkama       ili reflektorima</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Tip svjetiljke ili reflektora</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Vrsta izvora svjetlosti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Snaga izvora svjetlosti (W)</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Ukupna snaga svjetiljke ili reflektora (W)</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Ukupan broj svjetiljki ili reflektora </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Ukupna snaga grupe svjetiljki ili reflektora </w:t>
            </w:r>
            <w:r w:rsidRPr="00316B09">
              <w:rPr>
                <w:rFonts w:ascii="Arial" w:hAnsi="Arial" w:cs="Arial"/>
                <w:color w:val="000000"/>
              </w:rPr>
              <w:lastRenderedPageBreak/>
              <w:t>(kW)</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lastRenderedPageBreak/>
              <w:t>Utrošena energija grupe svjetiljki ili reflektora (</w:t>
            </w:r>
            <w:proofErr w:type="spellStart"/>
            <w:r w:rsidRPr="00316B09">
              <w:rPr>
                <w:rFonts w:ascii="Arial" w:hAnsi="Arial" w:cs="Arial"/>
                <w:color w:val="000000"/>
              </w:rPr>
              <w:t>kWh</w:t>
            </w:r>
            <w:proofErr w:type="spellEnd"/>
            <w:r w:rsidRPr="00316B09">
              <w:rPr>
                <w:rFonts w:ascii="Arial" w:hAnsi="Arial" w:cs="Arial"/>
                <w:color w:val="000000"/>
              </w:rPr>
              <w:t>)</w:t>
            </w: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8.</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S8-1, S8-2, S8-3.</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GAMALUX         LVC 16 1x400 W </w:t>
            </w:r>
            <w:proofErr w:type="spellStart"/>
            <w:r w:rsidRPr="00316B09">
              <w:rPr>
                <w:rFonts w:ascii="Arial" w:hAnsi="Arial" w:cs="Arial"/>
                <w:color w:val="000000"/>
              </w:rPr>
              <w:t>NaV</w:t>
            </w:r>
            <w:proofErr w:type="spellEnd"/>
            <w:r w:rsidRPr="00316B09">
              <w:rPr>
                <w:rFonts w:ascii="Arial" w:hAnsi="Arial" w:cs="Arial"/>
                <w:color w:val="000000"/>
              </w:rPr>
              <w:t xml:space="preserve"> - TEP</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NAV-T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436,00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6</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2,62</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10.725,60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9.</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LII-2-1, LII-2-</w:t>
            </w:r>
            <w:proofErr w:type="spellStart"/>
            <w:r w:rsidRPr="00316B09">
              <w:rPr>
                <w:rFonts w:ascii="Arial" w:hAnsi="Arial" w:cs="Arial"/>
                <w:color w:val="000000"/>
              </w:rPr>
              <w:t>2</w:t>
            </w:r>
            <w:proofErr w:type="spellEnd"/>
            <w:r w:rsidRPr="00316B09">
              <w:rPr>
                <w:rFonts w:ascii="Arial" w:hAnsi="Arial" w:cs="Arial"/>
                <w:color w:val="000000"/>
              </w:rPr>
              <w:t>,      LII-2-3</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CROSS         HPI-T        400 W      C-LUCE</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MH-T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460,00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18</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8,28</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33.948,00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10.</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LII-1-</w:t>
            </w:r>
            <w:proofErr w:type="spellStart"/>
            <w:r w:rsidRPr="00316B09">
              <w:rPr>
                <w:rFonts w:ascii="Arial" w:hAnsi="Arial" w:cs="Arial"/>
                <w:color w:val="000000"/>
              </w:rPr>
              <w:t>1</w:t>
            </w:r>
            <w:proofErr w:type="spellEnd"/>
            <w:r w:rsidRPr="00316B09">
              <w:rPr>
                <w:rFonts w:ascii="Arial" w:hAnsi="Arial" w:cs="Arial"/>
                <w:color w:val="000000"/>
              </w:rPr>
              <w:t>, LII-1-2.</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CROSS         HPI-T        400 W      C-LUCE</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MH-T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460,00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12</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5,52</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22.632,00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11.</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LII-1-3, LI-3-1.</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CONTI-       -NENTAL AS HPI-T  1000 W      C-LUCE</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MH-T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1000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1.140,00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12</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13,68</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56.088,00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12.</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LI-3-2, LI-3-</w:t>
            </w:r>
            <w:proofErr w:type="spellStart"/>
            <w:r w:rsidRPr="00316B09">
              <w:rPr>
                <w:rFonts w:ascii="Arial" w:hAnsi="Arial" w:cs="Arial"/>
                <w:color w:val="000000"/>
              </w:rPr>
              <w:t>3</w:t>
            </w:r>
            <w:proofErr w:type="spellEnd"/>
            <w:r w:rsidRPr="00316B09">
              <w:rPr>
                <w:rFonts w:ascii="Arial" w:hAnsi="Arial" w:cs="Arial"/>
                <w:color w:val="000000"/>
              </w:rPr>
              <w:t>,          LI-3-4,LI-3-5.</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CROSS         HPI-T        400 W      C-LUCE</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MH-T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460,00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24</w:t>
            </w:r>
          </w:p>
        </w:tc>
        <w:tc>
          <w:tcPr>
            <w:tcW w:w="1000" w:type="dxa"/>
            <w:vMerge w:val="restart"/>
            <w:tcBorders>
              <w:top w:val="nil"/>
              <w:left w:val="single" w:sz="4" w:space="0" w:color="auto"/>
              <w:bottom w:val="nil"/>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11,04</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45.264,00</w:t>
            </w: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674F84"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13.</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LI-2-1, LI-2-</w:t>
            </w:r>
            <w:proofErr w:type="spellStart"/>
            <w:r w:rsidRPr="00316B09">
              <w:rPr>
                <w:rFonts w:ascii="Arial" w:hAnsi="Arial" w:cs="Arial"/>
                <w:color w:val="000000"/>
              </w:rPr>
              <w:t>2</w:t>
            </w:r>
            <w:proofErr w:type="spellEnd"/>
            <w:r w:rsidRPr="00316B09">
              <w:rPr>
                <w:rFonts w:ascii="Arial" w:hAnsi="Arial" w:cs="Arial"/>
                <w:color w:val="000000"/>
              </w:rPr>
              <w:t>,          LI-2-3,LI-2-4,          LI-2-5.</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CROSS         HPI-T        400 W      C-LUCE</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MH-T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460,00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30</w:t>
            </w:r>
          </w:p>
        </w:tc>
        <w:tc>
          <w:tcPr>
            <w:tcW w:w="10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13,80</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56.580,00</w:t>
            </w: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14.</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LI-1-1.</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MVP 507  1xHPI-TP 400 W PHILIPS</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MH-T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1000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1.041,00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w:t>
            </w:r>
          </w:p>
        </w:tc>
        <w:tc>
          <w:tcPr>
            <w:tcW w:w="10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2,08</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8.536,20</w:t>
            </w: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15.</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LI-1-1.</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MVP 506  1xHPI-TP 400 W PHILIPS</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MH-T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460,00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3</w:t>
            </w:r>
          </w:p>
        </w:tc>
        <w:tc>
          <w:tcPr>
            <w:tcW w:w="10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1,38</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5.658,00</w:t>
            </w: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auto"/>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Redni broj</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Oznaka mjesta rasvjetnih stupova sa svjetiljkama       ili reflektorima</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Tip svjetiljke ili reflektora</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Vrsta izvora svjetlosti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Snaga izvora svjetlosti (W)</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Ukupna snaga svjetiljke ili reflektora (W)</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Ukupan broj svjetiljki ili reflektora </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Ukupna snaga grupe svjetiljki ili reflektora (kW)</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Utrošena energija grupe svjetiljki ili reflektora (</w:t>
            </w:r>
            <w:proofErr w:type="spellStart"/>
            <w:r w:rsidRPr="00316B09">
              <w:rPr>
                <w:rFonts w:ascii="Arial" w:hAnsi="Arial" w:cs="Arial"/>
                <w:color w:val="000000"/>
              </w:rPr>
              <w:t>kWh</w:t>
            </w:r>
            <w:proofErr w:type="spellEnd"/>
            <w:r w:rsidRPr="00316B09">
              <w:rPr>
                <w:rFonts w:ascii="Arial" w:hAnsi="Arial" w:cs="Arial"/>
                <w:color w:val="000000"/>
              </w:rPr>
              <w:t>)</w:t>
            </w: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16.</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RI-1.2</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 xml:space="preserve">MVP 506  </w:t>
            </w:r>
            <w:r w:rsidRPr="00316B09">
              <w:rPr>
                <w:rFonts w:ascii="Arial" w:hAnsi="Arial" w:cs="Arial"/>
                <w:color w:val="000000"/>
              </w:rPr>
              <w:lastRenderedPageBreak/>
              <w:t>1xHPI-TP 400 W PHILIPS</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lastRenderedPageBreak/>
              <w:t>MH-T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460,00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3</w:t>
            </w:r>
          </w:p>
        </w:tc>
        <w:tc>
          <w:tcPr>
            <w:tcW w:w="10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1,38</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5.658,00</w:t>
            </w: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17.</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RI-1.3</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MVP 506  1xHPI-TP 400 W PHILIPS</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MH-T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400</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460,00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4</w:t>
            </w:r>
          </w:p>
        </w:tc>
        <w:tc>
          <w:tcPr>
            <w:tcW w:w="10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1,84</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7.544,00</w:t>
            </w: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816"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58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1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995"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c>
          <w:tcPr>
            <w:tcW w:w="1000" w:type="dxa"/>
            <w:vMerge/>
            <w:tcBorders>
              <w:top w:val="single" w:sz="4" w:space="0" w:color="auto"/>
              <w:left w:val="single" w:sz="4" w:space="0" w:color="auto"/>
              <w:bottom w:val="nil"/>
              <w:right w:val="single" w:sz="4" w:space="0" w:color="auto"/>
            </w:tcBorders>
            <w:vAlign w:val="center"/>
            <w:hideMark/>
          </w:tcPr>
          <w:p w:rsidR="00366B80" w:rsidRPr="00316B09" w:rsidRDefault="00366B80" w:rsidP="00055582">
            <w:pPr>
              <w:rPr>
                <w:rFonts w:ascii="Arial" w:hAnsi="Arial" w:cs="Arial"/>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316B09" w:rsidRDefault="00366B80" w:rsidP="00055582">
            <w:pPr>
              <w:rPr>
                <w:rFonts w:ascii="Arial" w:hAnsi="Arial" w:cs="Arial"/>
                <w:color w:val="000000"/>
              </w:rPr>
            </w:pPr>
          </w:p>
        </w:tc>
      </w:tr>
      <w:tr w:rsidR="00366B80" w:rsidRPr="00704F71" w:rsidTr="00055582">
        <w:trPr>
          <w:trHeight w:val="300"/>
        </w:trPr>
        <w:tc>
          <w:tcPr>
            <w:tcW w:w="645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UKUPNO :</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161</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75,6</w:t>
            </w:r>
            <w:r>
              <w:rPr>
                <w:rFonts w:ascii="Arial" w:hAnsi="Arial" w:cs="Arial"/>
                <w:color w:val="000000"/>
              </w:rPr>
              <w:t>8</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366B80" w:rsidRPr="00316B09" w:rsidRDefault="00366B80" w:rsidP="00055582">
            <w:pPr>
              <w:jc w:val="center"/>
              <w:rPr>
                <w:rFonts w:ascii="Arial" w:hAnsi="Arial" w:cs="Arial"/>
                <w:color w:val="000000"/>
              </w:rPr>
            </w:pPr>
            <w:r w:rsidRPr="00316B09">
              <w:rPr>
                <w:rFonts w:ascii="Arial" w:hAnsi="Arial" w:cs="Arial"/>
                <w:color w:val="000000"/>
              </w:rPr>
              <w:t>310.2</w:t>
            </w:r>
            <w:r>
              <w:rPr>
                <w:rFonts w:ascii="Arial" w:hAnsi="Arial" w:cs="Arial"/>
                <w:color w:val="000000"/>
              </w:rPr>
              <w:t>88</w:t>
            </w:r>
            <w:r w:rsidRPr="00316B09">
              <w:rPr>
                <w:rFonts w:ascii="Arial" w:hAnsi="Arial" w:cs="Arial"/>
                <w:color w:val="000000"/>
              </w:rPr>
              <w:t>,</w:t>
            </w:r>
            <w:r>
              <w:rPr>
                <w:rFonts w:ascii="Arial" w:hAnsi="Arial" w:cs="Arial"/>
                <w:color w:val="000000"/>
              </w:rPr>
              <w:t>0</w:t>
            </w:r>
            <w:r w:rsidRPr="00316B09">
              <w:rPr>
                <w:rFonts w:ascii="Arial" w:hAnsi="Arial" w:cs="Arial"/>
                <w:color w:val="000000"/>
              </w:rPr>
              <w:t>0</w:t>
            </w:r>
          </w:p>
        </w:tc>
      </w:tr>
      <w:tr w:rsidR="00366B80" w:rsidRPr="00704F71" w:rsidTr="00055582">
        <w:trPr>
          <w:trHeight w:val="300"/>
        </w:trPr>
        <w:tc>
          <w:tcPr>
            <w:tcW w:w="6453" w:type="dxa"/>
            <w:gridSpan w:val="6"/>
            <w:vMerge/>
            <w:tcBorders>
              <w:top w:val="single" w:sz="4" w:space="0" w:color="auto"/>
              <w:left w:val="single" w:sz="4" w:space="0" w:color="auto"/>
              <w:bottom w:val="single" w:sz="4" w:space="0" w:color="000000"/>
              <w:right w:val="single" w:sz="4" w:space="0" w:color="000000"/>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r>
      <w:tr w:rsidR="00366B80" w:rsidRPr="00704F71" w:rsidTr="00055582">
        <w:trPr>
          <w:trHeight w:val="300"/>
        </w:trPr>
        <w:tc>
          <w:tcPr>
            <w:tcW w:w="6453" w:type="dxa"/>
            <w:gridSpan w:val="6"/>
            <w:vMerge/>
            <w:tcBorders>
              <w:top w:val="single" w:sz="4" w:space="0" w:color="auto"/>
              <w:left w:val="single" w:sz="4" w:space="0" w:color="auto"/>
              <w:bottom w:val="single" w:sz="4" w:space="0" w:color="000000"/>
              <w:right w:val="single" w:sz="4" w:space="0" w:color="000000"/>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rsidR="00366B80" w:rsidRPr="00704F71" w:rsidRDefault="00366B80" w:rsidP="00055582">
            <w:pPr>
              <w:rPr>
                <w:rFonts w:ascii="Arial" w:hAnsi="Arial" w:cs="Arial"/>
                <w:color w:val="000000"/>
                <w:sz w:val="18"/>
                <w:szCs w:val="18"/>
              </w:rPr>
            </w:pPr>
          </w:p>
        </w:tc>
      </w:tr>
    </w:tbl>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Pr="00EB0414"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r>
        <w:rPr>
          <w:rFonts w:ascii="Arial" w:hAnsi="Arial"/>
          <w:sz w:val="22"/>
          <w:szCs w:val="22"/>
        </w:rPr>
        <w:t xml:space="preserve">Iz prikazanih tablica vidljivo je da su u svjetiljkama </w:t>
      </w:r>
      <w:proofErr w:type="spellStart"/>
      <w:r>
        <w:rPr>
          <w:rFonts w:ascii="Arial" w:hAnsi="Arial"/>
          <w:sz w:val="22"/>
          <w:szCs w:val="22"/>
        </w:rPr>
        <w:t>najzastuplenije</w:t>
      </w:r>
      <w:proofErr w:type="spellEnd"/>
      <w:r w:rsidRPr="00EB0414">
        <w:rPr>
          <w:rFonts w:ascii="Arial" w:hAnsi="Arial"/>
          <w:sz w:val="22"/>
          <w:szCs w:val="22"/>
        </w:rPr>
        <w:t xml:space="preserve"> visokotlačn</w:t>
      </w:r>
      <w:r>
        <w:rPr>
          <w:rFonts w:ascii="Arial" w:hAnsi="Arial"/>
          <w:sz w:val="22"/>
          <w:szCs w:val="22"/>
        </w:rPr>
        <w:t>e</w:t>
      </w:r>
      <w:r w:rsidRPr="00EB0414">
        <w:rPr>
          <w:rFonts w:ascii="Arial" w:hAnsi="Arial"/>
          <w:sz w:val="22"/>
          <w:szCs w:val="22"/>
        </w:rPr>
        <w:t xml:space="preserve"> natrijev</w:t>
      </w:r>
      <w:r>
        <w:rPr>
          <w:rFonts w:ascii="Arial" w:hAnsi="Arial"/>
          <w:sz w:val="22"/>
          <w:szCs w:val="22"/>
        </w:rPr>
        <w:t>e</w:t>
      </w:r>
      <w:r w:rsidRPr="00EB0414">
        <w:rPr>
          <w:rFonts w:ascii="Arial" w:hAnsi="Arial"/>
          <w:sz w:val="22"/>
          <w:szCs w:val="22"/>
        </w:rPr>
        <w:t xml:space="preserve"> </w:t>
      </w:r>
      <w:r>
        <w:rPr>
          <w:rFonts w:ascii="Arial" w:hAnsi="Arial"/>
          <w:sz w:val="22"/>
          <w:szCs w:val="22"/>
        </w:rPr>
        <w:t>sijalice i to cjevaste NAV-T snage 250 W ukupno 19 kom i snage 400 W ukupno 6 kom, a elipsoidne sijalice NAV-E</w:t>
      </w:r>
      <w:r w:rsidRPr="00EB0414">
        <w:rPr>
          <w:rFonts w:ascii="Arial" w:hAnsi="Arial"/>
          <w:sz w:val="22"/>
          <w:szCs w:val="22"/>
        </w:rPr>
        <w:t xml:space="preserve"> snage </w:t>
      </w:r>
      <w:r>
        <w:rPr>
          <w:rFonts w:ascii="Arial" w:hAnsi="Arial"/>
          <w:sz w:val="22"/>
          <w:szCs w:val="22"/>
        </w:rPr>
        <w:t>2</w:t>
      </w:r>
      <w:r w:rsidRPr="00EB0414">
        <w:rPr>
          <w:rFonts w:ascii="Arial" w:hAnsi="Arial"/>
          <w:sz w:val="22"/>
          <w:szCs w:val="22"/>
        </w:rPr>
        <w:t>50</w:t>
      </w:r>
      <w:r>
        <w:rPr>
          <w:rFonts w:ascii="Arial" w:hAnsi="Arial"/>
          <w:sz w:val="22"/>
          <w:szCs w:val="22"/>
        </w:rPr>
        <w:t xml:space="preserve"> </w:t>
      </w:r>
      <w:r w:rsidRPr="00EB0414">
        <w:rPr>
          <w:rFonts w:ascii="Arial" w:hAnsi="Arial"/>
          <w:sz w:val="22"/>
          <w:szCs w:val="22"/>
        </w:rPr>
        <w:t>W</w:t>
      </w:r>
      <w:r>
        <w:rPr>
          <w:rFonts w:ascii="Arial" w:hAnsi="Arial"/>
          <w:sz w:val="22"/>
          <w:szCs w:val="22"/>
        </w:rPr>
        <w:t xml:space="preserve"> ukupno 15 kom</w:t>
      </w:r>
      <w:r w:rsidRPr="00EB0414">
        <w:rPr>
          <w:rFonts w:ascii="Arial" w:hAnsi="Arial"/>
          <w:sz w:val="22"/>
          <w:szCs w:val="22"/>
        </w:rPr>
        <w:t xml:space="preserve">. </w:t>
      </w:r>
      <w:proofErr w:type="spellStart"/>
      <w:r>
        <w:rPr>
          <w:rFonts w:ascii="Arial" w:hAnsi="Arial"/>
          <w:sz w:val="22"/>
          <w:szCs w:val="22"/>
        </w:rPr>
        <w:t>Takođe</w:t>
      </w:r>
      <w:proofErr w:type="spellEnd"/>
      <w:r>
        <w:rPr>
          <w:rFonts w:ascii="Arial" w:hAnsi="Arial"/>
          <w:sz w:val="22"/>
          <w:szCs w:val="22"/>
        </w:rPr>
        <w:t xml:space="preserve"> je prisutno ukupno 5 kom visokotlačnih živinih sijalica VTF snage 400 W, koje su već davno trebale biti demontirane i ekološki zbrinute. Najveći </w:t>
      </w:r>
      <w:r w:rsidRPr="00EB0414">
        <w:rPr>
          <w:rFonts w:ascii="Arial" w:hAnsi="Arial"/>
          <w:sz w:val="22"/>
          <w:szCs w:val="22"/>
        </w:rPr>
        <w:t xml:space="preserve">dio svjetiljki </w:t>
      </w:r>
      <w:proofErr w:type="spellStart"/>
      <w:r>
        <w:rPr>
          <w:rFonts w:ascii="Arial" w:hAnsi="Arial"/>
          <w:sz w:val="22"/>
          <w:szCs w:val="22"/>
        </w:rPr>
        <w:t>cca</w:t>
      </w:r>
      <w:proofErr w:type="spellEnd"/>
      <w:r>
        <w:rPr>
          <w:rFonts w:ascii="Arial" w:hAnsi="Arial"/>
          <w:sz w:val="22"/>
          <w:szCs w:val="22"/>
        </w:rPr>
        <w:t xml:space="preserve"> 78% </w:t>
      </w:r>
      <w:r w:rsidRPr="00EB0414">
        <w:rPr>
          <w:rFonts w:ascii="Arial" w:hAnsi="Arial"/>
          <w:sz w:val="22"/>
          <w:szCs w:val="22"/>
        </w:rPr>
        <w:t xml:space="preserve">na </w:t>
      </w:r>
      <w:r>
        <w:rPr>
          <w:rFonts w:ascii="Arial" w:hAnsi="Arial"/>
          <w:sz w:val="22"/>
          <w:szCs w:val="22"/>
        </w:rPr>
        <w:t>promatranom području</w:t>
      </w:r>
      <w:r w:rsidRPr="00EB0414">
        <w:rPr>
          <w:rFonts w:ascii="Arial" w:hAnsi="Arial"/>
          <w:sz w:val="22"/>
          <w:szCs w:val="22"/>
        </w:rPr>
        <w:t xml:space="preserve"> je zastar</w:t>
      </w:r>
      <w:r>
        <w:rPr>
          <w:rFonts w:ascii="Arial" w:hAnsi="Arial"/>
          <w:sz w:val="22"/>
          <w:szCs w:val="22"/>
        </w:rPr>
        <w:t>io</w:t>
      </w:r>
      <w:r w:rsidRPr="00EB0414">
        <w:rPr>
          <w:rFonts w:ascii="Arial" w:hAnsi="Arial"/>
          <w:sz w:val="22"/>
          <w:szCs w:val="22"/>
        </w:rPr>
        <w:t xml:space="preserve">, životni vijek im je istekao i kao takve </w:t>
      </w:r>
      <w:r>
        <w:rPr>
          <w:rFonts w:ascii="Arial" w:hAnsi="Arial"/>
          <w:sz w:val="22"/>
          <w:szCs w:val="22"/>
        </w:rPr>
        <w:t xml:space="preserve">stvaraju </w:t>
      </w:r>
      <w:r w:rsidRPr="00EB0414">
        <w:rPr>
          <w:rFonts w:ascii="Arial" w:hAnsi="Arial"/>
          <w:sz w:val="22"/>
          <w:szCs w:val="22"/>
        </w:rPr>
        <w:t>nepotreban trošak u održavanju pri daljnjoj eksploataciji, a sagledavajući moguće uštede energije</w:t>
      </w:r>
      <w:r>
        <w:rPr>
          <w:rFonts w:ascii="Arial" w:hAnsi="Arial"/>
          <w:sz w:val="22"/>
          <w:szCs w:val="22"/>
        </w:rPr>
        <w:t xml:space="preserve"> </w:t>
      </w:r>
      <w:r w:rsidRPr="00EB0414">
        <w:rPr>
          <w:rFonts w:ascii="Arial" w:hAnsi="Arial"/>
          <w:sz w:val="22"/>
          <w:szCs w:val="22"/>
        </w:rPr>
        <w:t>primjenom novih tehnologija logična je njihova zamjena.</w:t>
      </w:r>
    </w:p>
    <w:p w:rsidR="00366B80" w:rsidRPr="008A07E6" w:rsidRDefault="00366B80" w:rsidP="00366B80">
      <w:pPr>
        <w:ind w:left="-142"/>
        <w:jc w:val="both"/>
        <w:rPr>
          <w:rFonts w:ascii="Arial" w:hAnsi="Arial"/>
          <w:sz w:val="22"/>
          <w:szCs w:val="22"/>
        </w:rPr>
      </w:pPr>
      <w:r>
        <w:rPr>
          <w:rFonts w:ascii="Arial" w:hAnsi="Arial"/>
          <w:sz w:val="22"/>
          <w:szCs w:val="22"/>
        </w:rPr>
        <w:t xml:space="preserve">Što se tiče reflektora situacija je nešto povoljnija, ali </w:t>
      </w:r>
      <w:proofErr w:type="spellStart"/>
      <w:r>
        <w:rPr>
          <w:rFonts w:ascii="Arial" w:hAnsi="Arial"/>
          <w:sz w:val="22"/>
          <w:szCs w:val="22"/>
        </w:rPr>
        <w:t>takođe</w:t>
      </w:r>
      <w:proofErr w:type="spellEnd"/>
      <w:r>
        <w:rPr>
          <w:rFonts w:ascii="Arial" w:hAnsi="Arial"/>
          <w:sz w:val="22"/>
          <w:szCs w:val="22"/>
        </w:rPr>
        <w:t xml:space="preserve"> se mogu postići velike uštede u potrošnji električne energije uz </w:t>
      </w:r>
      <w:r w:rsidRPr="008A07E6">
        <w:rPr>
          <w:rFonts w:ascii="Arial" w:hAnsi="Arial"/>
          <w:sz w:val="22"/>
          <w:szCs w:val="22"/>
        </w:rPr>
        <w:t>primjen</w:t>
      </w:r>
      <w:r>
        <w:rPr>
          <w:rFonts w:ascii="Arial" w:hAnsi="Arial"/>
          <w:sz w:val="22"/>
          <w:szCs w:val="22"/>
        </w:rPr>
        <w:t>u</w:t>
      </w:r>
      <w:r w:rsidRPr="008A07E6">
        <w:rPr>
          <w:rFonts w:ascii="Arial" w:hAnsi="Arial"/>
          <w:sz w:val="22"/>
          <w:szCs w:val="22"/>
        </w:rPr>
        <w:t xml:space="preserve"> nov</w:t>
      </w:r>
      <w:r>
        <w:rPr>
          <w:rFonts w:ascii="Arial" w:hAnsi="Arial"/>
          <w:sz w:val="22"/>
          <w:szCs w:val="22"/>
        </w:rPr>
        <w:t>e</w:t>
      </w:r>
      <w:r w:rsidRPr="008A07E6">
        <w:rPr>
          <w:rFonts w:ascii="Arial" w:hAnsi="Arial"/>
          <w:sz w:val="22"/>
          <w:szCs w:val="22"/>
        </w:rPr>
        <w:t xml:space="preserve"> tehnologij</w:t>
      </w:r>
      <w:r>
        <w:rPr>
          <w:rFonts w:ascii="Arial" w:hAnsi="Arial"/>
          <w:sz w:val="22"/>
          <w:szCs w:val="22"/>
        </w:rPr>
        <w:t xml:space="preserve">e tj. zamjenom reflektora s </w:t>
      </w:r>
      <w:proofErr w:type="spellStart"/>
      <w:r>
        <w:rPr>
          <w:rFonts w:ascii="Arial" w:hAnsi="Arial"/>
          <w:sz w:val="22"/>
          <w:szCs w:val="22"/>
        </w:rPr>
        <w:t>metalhalogenim</w:t>
      </w:r>
      <w:proofErr w:type="spellEnd"/>
      <w:r>
        <w:rPr>
          <w:rFonts w:ascii="Arial" w:hAnsi="Arial"/>
          <w:sz w:val="22"/>
          <w:szCs w:val="22"/>
        </w:rPr>
        <w:t xml:space="preserve"> izvorima svjetlosti sa LED izvorima svjetlosti,</w:t>
      </w:r>
      <w:r w:rsidRPr="00D75246">
        <w:rPr>
          <w:rFonts w:ascii="Arial" w:hAnsi="Arial"/>
          <w:sz w:val="22"/>
          <w:szCs w:val="22"/>
        </w:rPr>
        <w:t xml:space="preserve"> </w:t>
      </w:r>
      <w:r w:rsidRPr="008A07E6">
        <w:rPr>
          <w:rFonts w:ascii="Arial" w:hAnsi="Arial"/>
          <w:sz w:val="22"/>
          <w:szCs w:val="22"/>
        </w:rPr>
        <w:t xml:space="preserve">a </w:t>
      </w:r>
      <w:r>
        <w:rPr>
          <w:rFonts w:ascii="Arial" w:hAnsi="Arial"/>
          <w:sz w:val="22"/>
          <w:szCs w:val="22"/>
        </w:rPr>
        <w:t>zbog</w:t>
      </w:r>
      <w:r w:rsidRPr="008A07E6">
        <w:rPr>
          <w:rFonts w:ascii="Arial" w:hAnsi="Arial"/>
          <w:sz w:val="22"/>
          <w:szCs w:val="22"/>
        </w:rPr>
        <w:t xml:space="preserve"> moguće uštede </w:t>
      </w:r>
      <w:r>
        <w:rPr>
          <w:rFonts w:ascii="Arial" w:hAnsi="Arial"/>
          <w:sz w:val="22"/>
          <w:szCs w:val="22"/>
        </w:rPr>
        <w:t xml:space="preserve">u potrošnji </w:t>
      </w:r>
      <w:r w:rsidRPr="008A07E6">
        <w:rPr>
          <w:rFonts w:ascii="Arial" w:hAnsi="Arial"/>
          <w:sz w:val="22"/>
          <w:szCs w:val="22"/>
        </w:rPr>
        <w:t>energije</w:t>
      </w:r>
      <w:r>
        <w:rPr>
          <w:rFonts w:ascii="Arial" w:hAnsi="Arial"/>
          <w:sz w:val="22"/>
          <w:szCs w:val="22"/>
        </w:rPr>
        <w:t xml:space="preserve"> </w:t>
      </w:r>
      <w:r w:rsidRPr="008A07E6">
        <w:rPr>
          <w:rFonts w:ascii="Arial" w:hAnsi="Arial"/>
          <w:sz w:val="22"/>
          <w:szCs w:val="22"/>
        </w:rPr>
        <w:t xml:space="preserve">logična je </w:t>
      </w:r>
      <w:r>
        <w:rPr>
          <w:rFonts w:ascii="Arial" w:hAnsi="Arial"/>
          <w:sz w:val="22"/>
          <w:szCs w:val="22"/>
        </w:rPr>
        <w:t xml:space="preserve">i </w:t>
      </w:r>
      <w:r w:rsidRPr="008A07E6">
        <w:rPr>
          <w:rFonts w:ascii="Arial" w:hAnsi="Arial"/>
          <w:sz w:val="22"/>
          <w:szCs w:val="22"/>
        </w:rPr>
        <w:t>njihova zamjena.</w:t>
      </w:r>
    </w:p>
    <w:p w:rsidR="00366B80" w:rsidRPr="00EB0414" w:rsidRDefault="00366B80" w:rsidP="00366B80">
      <w:pPr>
        <w:ind w:left="-142"/>
        <w:jc w:val="both"/>
        <w:rPr>
          <w:rFonts w:ascii="Arial" w:hAnsi="Arial"/>
          <w:sz w:val="22"/>
          <w:szCs w:val="22"/>
        </w:rPr>
      </w:pPr>
      <w:r>
        <w:rPr>
          <w:rFonts w:ascii="Arial" w:hAnsi="Arial"/>
          <w:sz w:val="22"/>
          <w:szCs w:val="22"/>
        </w:rPr>
        <w:t>.</w:t>
      </w:r>
    </w:p>
    <w:p w:rsidR="00366B80" w:rsidRDefault="00366B80" w:rsidP="00366B80">
      <w:pPr>
        <w:ind w:left="-142"/>
        <w:jc w:val="both"/>
        <w:rPr>
          <w:rFonts w:ascii="Arial" w:hAnsi="Arial"/>
          <w:sz w:val="22"/>
          <w:szCs w:val="22"/>
        </w:rPr>
      </w:pPr>
    </w:p>
    <w:p w:rsidR="00366B80" w:rsidRDefault="00366B80" w:rsidP="00366B80">
      <w:pPr>
        <w:tabs>
          <w:tab w:val="left" w:pos="1134"/>
        </w:tabs>
        <w:ind w:left="1133" w:right="-142" w:hanging="1275"/>
        <w:rPr>
          <w:rFonts w:ascii="Arial" w:hAnsi="Arial"/>
          <w:sz w:val="22"/>
          <w:szCs w:val="22"/>
        </w:rPr>
      </w:pPr>
      <w:r w:rsidRPr="00CB7865">
        <w:rPr>
          <w:rFonts w:ascii="Arial" w:hAnsi="Arial"/>
          <w:sz w:val="22"/>
          <w:szCs w:val="22"/>
        </w:rPr>
        <w:t>2.1.</w:t>
      </w:r>
      <w:r>
        <w:rPr>
          <w:rFonts w:ascii="Arial" w:hAnsi="Arial"/>
          <w:sz w:val="22"/>
          <w:szCs w:val="22"/>
        </w:rPr>
        <w:t>2</w:t>
      </w:r>
      <w:r w:rsidRPr="00CB7865">
        <w:rPr>
          <w:rFonts w:ascii="Arial" w:hAnsi="Arial"/>
          <w:sz w:val="22"/>
          <w:szCs w:val="22"/>
        </w:rPr>
        <w:t>.</w:t>
      </w:r>
      <w:r>
        <w:rPr>
          <w:rFonts w:ascii="Arial" w:hAnsi="Arial"/>
          <w:sz w:val="22"/>
          <w:szCs w:val="22"/>
        </w:rPr>
        <w:t>1.</w:t>
      </w:r>
      <w:r w:rsidRPr="00CB7865">
        <w:rPr>
          <w:rFonts w:ascii="Arial" w:hAnsi="Arial"/>
          <w:sz w:val="22"/>
          <w:szCs w:val="22"/>
        </w:rPr>
        <w:t xml:space="preserve"> </w:t>
      </w:r>
      <w:r w:rsidRPr="00CB7865">
        <w:rPr>
          <w:rFonts w:ascii="Arial" w:hAnsi="Arial"/>
          <w:sz w:val="22"/>
          <w:szCs w:val="22"/>
        </w:rPr>
        <w:tab/>
      </w:r>
      <w:r>
        <w:rPr>
          <w:rFonts w:ascii="Arial" w:hAnsi="Arial"/>
          <w:sz w:val="22"/>
          <w:szCs w:val="22"/>
        </w:rPr>
        <w:tab/>
        <w:t>Ocjena postojećih rasvjetnih tijela u odnosu na ispunjenje zakonskih kriterija svjetlosnog onečišćenja</w:t>
      </w:r>
    </w:p>
    <w:p w:rsidR="00366B80" w:rsidRDefault="00366B80" w:rsidP="00366B80">
      <w:pPr>
        <w:autoSpaceDE w:val="0"/>
        <w:autoSpaceDN w:val="0"/>
        <w:adjustRightInd w:val="0"/>
        <w:ind w:left="-142"/>
        <w:jc w:val="both"/>
        <w:rPr>
          <w:rFonts w:ascii="Arial" w:hAnsi="Arial"/>
          <w:sz w:val="22"/>
          <w:szCs w:val="22"/>
        </w:rPr>
      </w:pPr>
    </w:p>
    <w:p w:rsidR="00366B80" w:rsidRDefault="00366B80" w:rsidP="00366B80">
      <w:pPr>
        <w:autoSpaceDE w:val="0"/>
        <w:autoSpaceDN w:val="0"/>
        <w:adjustRightInd w:val="0"/>
        <w:ind w:left="-142"/>
        <w:jc w:val="both"/>
        <w:rPr>
          <w:rFonts w:ascii="Arial" w:hAnsi="Arial"/>
          <w:sz w:val="22"/>
          <w:szCs w:val="22"/>
        </w:rPr>
      </w:pPr>
      <w:r w:rsidRPr="008D4AA9">
        <w:rPr>
          <w:rFonts w:ascii="Arial" w:hAnsi="Arial"/>
          <w:sz w:val="22"/>
          <w:szCs w:val="22"/>
        </w:rPr>
        <w:t>Svjetlosno onečišćenje okoliša danas je globalni problem kojemu se pripisuju ekonomski, astronomski, sigurnosni, ali i zdravstveni problemi koji utječu na čovjeka i izazivaju brojne neželjene zdravstvene učinke.</w:t>
      </w:r>
    </w:p>
    <w:p w:rsidR="00366B80" w:rsidRDefault="00366B80" w:rsidP="00366B80">
      <w:pPr>
        <w:autoSpaceDE w:val="0"/>
        <w:autoSpaceDN w:val="0"/>
        <w:adjustRightInd w:val="0"/>
        <w:ind w:left="-142"/>
        <w:jc w:val="both"/>
        <w:rPr>
          <w:rFonts w:ascii="Arial" w:hAnsi="Arial"/>
          <w:sz w:val="22"/>
          <w:szCs w:val="22"/>
        </w:rPr>
      </w:pPr>
      <w:r>
        <w:rPr>
          <w:rFonts w:ascii="Arial" w:hAnsi="Arial"/>
          <w:sz w:val="22"/>
          <w:szCs w:val="22"/>
        </w:rPr>
        <w:t xml:space="preserve">Prema Zakonu o zaštiti od svjetlosnog onečišćenja (N.n.114/2011) svjetlosno onečišćenje okoliša </w:t>
      </w:r>
      <w:r w:rsidRPr="002F39BE">
        <w:rPr>
          <w:rFonts w:ascii="Arial" w:hAnsi="Arial"/>
          <w:sz w:val="22"/>
          <w:szCs w:val="22"/>
        </w:rPr>
        <w:t>jest emisija svjetlosti iz umjetnih izvora svjetlosti koja štetno djeluje na ljudsko zdravlje i uzrokuje osjećaj bliještanja, ugrožava sigurnost u prometu zbog bliještanja, zbog neposrednog ili posrednog zračenja svjetlosti prema nebu ometa život i/ili seobu ptica, šišmiša, kukaca i drugih životinja te remeti rast biljaka, ugrožava prirodnu ravnotežu na zaštićenim područjima, ometa profesionalno i/ili amatersko astronomsko promatranje neba ili zračenjem svjetlosti prema nebu nepotrebno troši električnu energiju te narušava sliku noćnog krajobraza</w:t>
      </w:r>
      <w:r>
        <w:rPr>
          <w:rFonts w:ascii="Arial" w:hAnsi="Arial"/>
          <w:sz w:val="22"/>
          <w:szCs w:val="22"/>
        </w:rPr>
        <w:t>.</w:t>
      </w:r>
    </w:p>
    <w:p w:rsidR="00366B80" w:rsidRDefault="00366B80" w:rsidP="00366B80">
      <w:pPr>
        <w:ind w:left="-142"/>
        <w:jc w:val="both"/>
        <w:rPr>
          <w:rFonts w:ascii="Arial" w:hAnsi="Arial"/>
          <w:sz w:val="22"/>
          <w:szCs w:val="22"/>
        </w:rPr>
      </w:pPr>
      <w:r w:rsidRPr="002F39BE">
        <w:rPr>
          <w:rFonts w:ascii="Arial" w:hAnsi="Arial"/>
          <w:sz w:val="22"/>
          <w:szCs w:val="22"/>
        </w:rPr>
        <w:t xml:space="preserve">Upravo je problematika svjetlosnog onečišćenja </w:t>
      </w:r>
      <w:r>
        <w:rPr>
          <w:rFonts w:ascii="Arial" w:hAnsi="Arial"/>
          <w:sz w:val="22"/>
          <w:szCs w:val="22"/>
        </w:rPr>
        <w:t>okoliša uvela pojam</w:t>
      </w:r>
      <w:r w:rsidRPr="002F39BE">
        <w:rPr>
          <w:rFonts w:ascii="Arial" w:hAnsi="Arial"/>
          <w:sz w:val="22"/>
          <w:szCs w:val="22"/>
        </w:rPr>
        <w:t xml:space="preserve"> tzv. ekološke rasvjete.</w:t>
      </w:r>
      <w:r>
        <w:rPr>
          <w:rFonts w:ascii="Arial" w:hAnsi="Arial"/>
          <w:sz w:val="22"/>
          <w:szCs w:val="22"/>
        </w:rPr>
        <w:t xml:space="preserve"> </w:t>
      </w:r>
    </w:p>
    <w:p w:rsidR="00366B80" w:rsidRDefault="00366B80" w:rsidP="00366B80">
      <w:pPr>
        <w:ind w:left="-142"/>
        <w:jc w:val="both"/>
        <w:rPr>
          <w:rFonts w:ascii="Arial" w:hAnsi="Arial"/>
          <w:sz w:val="22"/>
          <w:szCs w:val="22"/>
        </w:rPr>
      </w:pPr>
      <w:r>
        <w:rPr>
          <w:rFonts w:ascii="Arial" w:hAnsi="Arial"/>
          <w:sz w:val="22"/>
          <w:szCs w:val="22"/>
        </w:rPr>
        <w:t>Ekološka rasvjeta mora biti:</w:t>
      </w:r>
    </w:p>
    <w:p w:rsidR="00366B80" w:rsidRDefault="00366B80" w:rsidP="00366B80">
      <w:pPr>
        <w:ind w:left="-142"/>
        <w:jc w:val="both"/>
        <w:rPr>
          <w:rFonts w:ascii="Arial" w:hAnsi="Arial"/>
          <w:sz w:val="22"/>
          <w:szCs w:val="22"/>
        </w:rPr>
      </w:pPr>
    </w:p>
    <w:p w:rsidR="00366B80" w:rsidRDefault="00366B80" w:rsidP="00366B80">
      <w:pPr>
        <w:numPr>
          <w:ilvl w:val="0"/>
          <w:numId w:val="20"/>
        </w:numPr>
        <w:jc w:val="both"/>
        <w:rPr>
          <w:rFonts w:ascii="Arial" w:hAnsi="Arial"/>
          <w:sz w:val="22"/>
          <w:szCs w:val="22"/>
        </w:rPr>
      </w:pPr>
      <w:r>
        <w:rPr>
          <w:rFonts w:ascii="Arial" w:hAnsi="Arial"/>
          <w:sz w:val="22"/>
          <w:szCs w:val="22"/>
        </w:rPr>
        <w:t>energetski učinkovita</w:t>
      </w:r>
    </w:p>
    <w:p w:rsidR="00366B80" w:rsidRDefault="00366B80" w:rsidP="00366B80">
      <w:pPr>
        <w:ind w:left="-142"/>
        <w:jc w:val="both"/>
        <w:rPr>
          <w:rFonts w:ascii="Arial" w:hAnsi="Arial"/>
          <w:sz w:val="22"/>
          <w:szCs w:val="22"/>
        </w:rPr>
      </w:pPr>
    </w:p>
    <w:p w:rsidR="00366B80" w:rsidRDefault="00366B80" w:rsidP="00366B80">
      <w:pPr>
        <w:numPr>
          <w:ilvl w:val="0"/>
          <w:numId w:val="20"/>
        </w:numPr>
        <w:jc w:val="both"/>
        <w:rPr>
          <w:rFonts w:ascii="Arial" w:hAnsi="Arial"/>
          <w:sz w:val="22"/>
          <w:szCs w:val="22"/>
        </w:rPr>
      </w:pPr>
      <w:r>
        <w:rPr>
          <w:rFonts w:ascii="Arial" w:hAnsi="Arial"/>
          <w:sz w:val="22"/>
          <w:szCs w:val="22"/>
        </w:rPr>
        <w:t>zasjenjena i usmjerena</w:t>
      </w:r>
    </w:p>
    <w:p w:rsidR="00366B80" w:rsidRDefault="00366B80" w:rsidP="00366B80">
      <w:pPr>
        <w:pStyle w:val="ListParagraph"/>
        <w:rPr>
          <w:rFonts w:ascii="Arial" w:hAnsi="Arial"/>
          <w:sz w:val="22"/>
          <w:szCs w:val="22"/>
        </w:rPr>
      </w:pPr>
    </w:p>
    <w:p w:rsidR="00366B80" w:rsidRDefault="00366B80" w:rsidP="00366B80">
      <w:pPr>
        <w:numPr>
          <w:ilvl w:val="0"/>
          <w:numId w:val="20"/>
        </w:numPr>
        <w:jc w:val="both"/>
        <w:rPr>
          <w:rFonts w:ascii="Arial" w:hAnsi="Arial"/>
          <w:sz w:val="22"/>
          <w:szCs w:val="22"/>
        </w:rPr>
      </w:pPr>
      <w:r>
        <w:rPr>
          <w:rFonts w:ascii="Arial" w:hAnsi="Arial"/>
          <w:sz w:val="22"/>
          <w:szCs w:val="22"/>
        </w:rPr>
        <w:t>odgovarajuće „boje svjetlosti“</w:t>
      </w:r>
    </w:p>
    <w:p w:rsidR="00366B80" w:rsidRDefault="00366B80" w:rsidP="00366B80">
      <w:pPr>
        <w:pStyle w:val="ListParagraph"/>
        <w:rPr>
          <w:rFonts w:ascii="Arial" w:hAnsi="Arial"/>
          <w:sz w:val="22"/>
          <w:szCs w:val="22"/>
        </w:rPr>
      </w:pPr>
    </w:p>
    <w:p w:rsidR="00366B80" w:rsidRDefault="00366B80" w:rsidP="00366B80">
      <w:pPr>
        <w:numPr>
          <w:ilvl w:val="0"/>
          <w:numId w:val="20"/>
        </w:numPr>
        <w:jc w:val="both"/>
        <w:rPr>
          <w:rFonts w:ascii="Arial" w:hAnsi="Arial"/>
          <w:sz w:val="22"/>
          <w:szCs w:val="22"/>
        </w:rPr>
      </w:pPr>
      <w:r>
        <w:rPr>
          <w:rFonts w:ascii="Arial" w:hAnsi="Arial"/>
          <w:sz w:val="22"/>
          <w:szCs w:val="22"/>
        </w:rPr>
        <w:t xml:space="preserve">umjerenog </w:t>
      </w:r>
      <w:proofErr w:type="spellStart"/>
      <w:r>
        <w:rPr>
          <w:rFonts w:ascii="Arial" w:hAnsi="Arial"/>
          <w:sz w:val="22"/>
          <w:szCs w:val="22"/>
        </w:rPr>
        <w:t>inteziteta</w:t>
      </w:r>
      <w:proofErr w:type="spellEnd"/>
    </w:p>
    <w:p w:rsidR="00366B80" w:rsidRDefault="00366B80" w:rsidP="00366B80">
      <w:pPr>
        <w:pStyle w:val="ListParagraph"/>
        <w:rPr>
          <w:rFonts w:ascii="Arial" w:hAnsi="Arial"/>
          <w:sz w:val="22"/>
          <w:szCs w:val="22"/>
        </w:rPr>
      </w:pPr>
    </w:p>
    <w:p w:rsidR="00366B80" w:rsidRDefault="00366B80" w:rsidP="00366B80">
      <w:pPr>
        <w:numPr>
          <w:ilvl w:val="0"/>
          <w:numId w:val="20"/>
        </w:numPr>
        <w:jc w:val="both"/>
        <w:rPr>
          <w:rFonts w:ascii="Arial" w:hAnsi="Arial"/>
          <w:sz w:val="22"/>
          <w:szCs w:val="22"/>
        </w:rPr>
      </w:pPr>
      <w:r>
        <w:rPr>
          <w:rFonts w:ascii="Arial" w:hAnsi="Arial"/>
          <w:sz w:val="22"/>
          <w:szCs w:val="22"/>
        </w:rPr>
        <w:t>opravdana</w:t>
      </w:r>
    </w:p>
    <w:p w:rsidR="00366B80" w:rsidRDefault="00366B80" w:rsidP="00366B80">
      <w:pPr>
        <w:pStyle w:val="ListParagraph"/>
        <w:rPr>
          <w:rFonts w:ascii="Arial" w:hAnsi="Arial"/>
          <w:sz w:val="22"/>
          <w:szCs w:val="22"/>
        </w:rPr>
      </w:pPr>
    </w:p>
    <w:p w:rsidR="00366B80" w:rsidRPr="008D4AA9" w:rsidRDefault="00366B80" w:rsidP="00366B80">
      <w:pPr>
        <w:ind w:left="-142"/>
        <w:jc w:val="both"/>
        <w:rPr>
          <w:rFonts w:ascii="Arial" w:hAnsi="Arial"/>
          <w:sz w:val="22"/>
          <w:szCs w:val="22"/>
        </w:rPr>
      </w:pPr>
      <w:r w:rsidRPr="008D4AA9">
        <w:rPr>
          <w:rFonts w:ascii="Arial" w:hAnsi="Arial"/>
          <w:sz w:val="22"/>
          <w:szCs w:val="22"/>
        </w:rPr>
        <w:lastRenderedPageBreak/>
        <w:t xml:space="preserve">Glavni su uzročnici svjetlosnog onečišćenja nepravilno postavljena vanjska rasvjetna tijela, ona koja svojom konstrukcijom rasipaju svjetlost oko površine umjesto prema tlu koje treba biti osvijetljeno te postavljanje </w:t>
      </w:r>
      <w:proofErr w:type="spellStart"/>
      <w:r w:rsidRPr="008D4AA9">
        <w:rPr>
          <w:rFonts w:ascii="Arial" w:hAnsi="Arial"/>
          <w:sz w:val="22"/>
          <w:szCs w:val="22"/>
        </w:rPr>
        <w:t>neekoloških</w:t>
      </w:r>
      <w:proofErr w:type="spellEnd"/>
      <w:r w:rsidRPr="008D4AA9">
        <w:rPr>
          <w:rFonts w:ascii="Arial" w:hAnsi="Arial"/>
          <w:sz w:val="22"/>
          <w:szCs w:val="22"/>
        </w:rPr>
        <w:t xml:space="preserve"> rasvjetnih tijela.</w:t>
      </w:r>
    </w:p>
    <w:p w:rsidR="00366B80" w:rsidRDefault="00366B80" w:rsidP="00366B80">
      <w:pPr>
        <w:ind w:left="-142"/>
        <w:jc w:val="both"/>
        <w:rPr>
          <w:rFonts w:ascii="Arial" w:hAnsi="Arial"/>
          <w:sz w:val="22"/>
          <w:szCs w:val="22"/>
        </w:rPr>
      </w:pPr>
      <w:r w:rsidRPr="009457F6">
        <w:rPr>
          <w:rFonts w:ascii="Arial" w:hAnsi="Arial"/>
          <w:sz w:val="22"/>
          <w:szCs w:val="22"/>
        </w:rPr>
        <w:t>Ekološka rasvjeta svakako</w:t>
      </w:r>
      <w:r w:rsidRPr="00E1458A">
        <w:rPr>
          <w:rFonts w:ascii="Arial" w:hAnsi="Arial"/>
          <w:sz w:val="22"/>
          <w:szCs w:val="22"/>
        </w:rPr>
        <w:t> mora biti zasjenjena </w:t>
      </w:r>
      <w:r w:rsidRPr="009457F6">
        <w:rPr>
          <w:rFonts w:ascii="Arial" w:hAnsi="Arial"/>
          <w:sz w:val="22"/>
          <w:szCs w:val="22"/>
        </w:rPr>
        <w:t>tako da</w:t>
      </w:r>
      <w:r w:rsidRPr="00E1458A">
        <w:rPr>
          <w:rFonts w:ascii="Arial" w:hAnsi="Arial"/>
          <w:sz w:val="22"/>
          <w:szCs w:val="22"/>
        </w:rPr>
        <w:t> ne emitira svjetlost iznad razine horizonta</w:t>
      </w:r>
      <w:r w:rsidRPr="009457F6">
        <w:rPr>
          <w:rFonts w:ascii="Arial" w:hAnsi="Arial"/>
          <w:sz w:val="22"/>
          <w:szCs w:val="22"/>
        </w:rPr>
        <w:t>. Zasjenjene (“</w:t>
      </w:r>
      <w:proofErr w:type="spellStart"/>
      <w:r w:rsidRPr="009457F6">
        <w:rPr>
          <w:rFonts w:ascii="Arial" w:hAnsi="Arial"/>
          <w:sz w:val="22"/>
          <w:szCs w:val="22"/>
        </w:rPr>
        <w:t>full</w:t>
      </w:r>
      <w:proofErr w:type="spellEnd"/>
      <w:r w:rsidRPr="009457F6">
        <w:rPr>
          <w:rFonts w:ascii="Arial" w:hAnsi="Arial"/>
          <w:sz w:val="22"/>
          <w:szCs w:val="22"/>
        </w:rPr>
        <w:t xml:space="preserve"> </w:t>
      </w:r>
      <w:proofErr w:type="spellStart"/>
      <w:r w:rsidRPr="009457F6">
        <w:rPr>
          <w:rFonts w:ascii="Arial" w:hAnsi="Arial"/>
          <w:sz w:val="22"/>
          <w:szCs w:val="22"/>
        </w:rPr>
        <w:t>cut</w:t>
      </w:r>
      <w:proofErr w:type="spellEnd"/>
      <w:r w:rsidRPr="009457F6">
        <w:rPr>
          <w:rFonts w:ascii="Arial" w:hAnsi="Arial"/>
          <w:sz w:val="22"/>
          <w:szCs w:val="22"/>
        </w:rPr>
        <w:t xml:space="preserve"> </w:t>
      </w:r>
      <w:proofErr w:type="spellStart"/>
      <w:r w:rsidRPr="009457F6">
        <w:rPr>
          <w:rFonts w:ascii="Arial" w:hAnsi="Arial"/>
          <w:sz w:val="22"/>
          <w:szCs w:val="22"/>
        </w:rPr>
        <w:t>off</w:t>
      </w:r>
      <w:proofErr w:type="spellEnd"/>
      <w:r w:rsidRPr="009457F6">
        <w:rPr>
          <w:rFonts w:ascii="Arial" w:hAnsi="Arial"/>
          <w:sz w:val="22"/>
          <w:szCs w:val="22"/>
        </w:rPr>
        <w:t>”) svjetiljke</w:t>
      </w:r>
      <w:r w:rsidRPr="00E1458A">
        <w:rPr>
          <w:rFonts w:ascii="Arial" w:hAnsi="Arial"/>
          <w:sz w:val="22"/>
          <w:szCs w:val="22"/>
        </w:rPr>
        <w:t> moraju obavezno biti usmjerene prema tlu</w:t>
      </w:r>
      <w:r w:rsidRPr="009457F6">
        <w:rPr>
          <w:rFonts w:ascii="Arial" w:hAnsi="Arial"/>
          <w:sz w:val="22"/>
          <w:szCs w:val="22"/>
        </w:rPr>
        <w:t>, u protivnom će se i njihova svjetlost bespotrebno rasipati u okoliš.</w:t>
      </w:r>
      <w:r w:rsidRPr="00E1458A">
        <w:rPr>
          <w:rFonts w:ascii="Arial" w:hAnsi="Arial"/>
          <w:sz w:val="22"/>
          <w:szCs w:val="22"/>
        </w:rPr>
        <w:t> </w:t>
      </w:r>
    </w:p>
    <w:p w:rsidR="00366B80" w:rsidRPr="00E379CA" w:rsidRDefault="00366B80" w:rsidP="00366B80">
      <w:pPr>
        <w:ind w:left="-142"/>
        <w:jc w:val="both"/>
        <w:rPr>
          <w:rFonts w:ascii="Arial" w:hAnsi="Arial"/>
          <w:sz w:val="22"/>
          <w:szCs w:val="22"/>
        </w:rPr>
      </w:pPr>
      <w:r w:rsidRPr="00E379CA">
        <w:rPr>
          <w:rFonts w:ascii="Arial" w:hAnsi="Arial"/>
          <w:sz w:val="22"/>
          <w:szCs w:val="22"/>
        </w:rPr>
        <w:t>Energetska učinkovitost često je sinonim za ekološku rasvjetu. Financijske uštede su važne, međutim svjetiljka koja rasipa svjetlost iznad razine horizonta u nebo</w:t>
      </w:r>
      <w:r>
        <w:rPr>
          <w:rFonts w:ascii="Arial" w:hAnsi="Arial"/>
          <w:sz w:val="22"/>
          <w:szCs w:val="22"/>
        </w:rPr>
        <w:t xml:space="preserve"> i</w:t>
      </w:r>
      <w:r w:rsidRPr="00E379CA">
        <w:rPr>
          <w:rFonts w:ascii="Arial" w:hAnsi="Arial"/>
          <w:sz w:val="22"/>
          <w:szCs w:val="22"/>
        </w:rPr>
        <w:t xml:space="preserve"> okoliš</w:t>
      </w:r>
      <w:r>
        <w:rPr>
          <w:rFonts w:ascii="Arial" w:hAnsi="Arial"/>
          <w:sz w:val="22"/>
          <w:szCs w:val="22"/>
        </w:rPr>
        <w:t xml:space="preserve"> </w:t>
      </w:r>
      <w:r w:rsidRPr="00E379CA">
        <w:rPr>
          <w:rFonts w:ascii="Arial" w:hAnsi="Arial"/>
          <w:sz w:val="22"/>
          <w:szCs w:val="22"/>
        </w:rPr>
        <w:t xml:space="preserve">i dalje će biti </w:t>
      </w:r>
      <w:proofErr w:type="spellStart"/>
      <w:r w:rsidRPr="00E379CA">
        <w:rPr>
          <w:rFonts w:ascii="Arial" w:hAnsi="Arial"/>
          <w:sz w:val="22"/>
          <w:szCs w:val="22"/>
        </w:rPr>
        <w:t>neekološka</w:t>
      </w:r>
      <w:proofErr w:type="spellEnd"/>
      <w:r w:rsidRPr="00E379CA">
        <w:rPr>
          <w:rFonts w:ascii="Arial" w:hAnsi="Arial"/>
          <w:sz w:val="22"/>
          <w:szCs w:val="22"/>
        </w:rPr>
        <w:t xml:space="preserve"> te uzrokovati svjetlosno onečišćenje uz narušavanje ljudskog zdravlja i remećenje ekosustava.</w:t>
      </w:r>
    </w:p>
    <w:p w:rsidR="00366B80" w:rsidRPr="002F39BE" w:rsidRDefault="00366B80" w:rsidP="00366B80">
      <w:pPr>
        <w:ind w:left="-142"/>
        <w:jc w:val="both"/>
        <w:rPr>
          <w:rFonts w:ascii="Arial" w:hAnsi="Arial"/>
          <w:sz w:val="22"/>
          <w:szCs w:val="22"/>
        </w:rPr>
      </w:pPr>
      <w:r w:rsidRPr="002F39BE">
        <w:rPr>
          <w:rFonts w:ascii="Arial" w:hAnsi="Arial"/>
          <w:sz w:val="22"/>
          <w:szCs w:val="22"/>
        </w:rPr>
        <w:t xml:space="preserve">Iako je </w:t>
      </w:r>
      <w:r>
        <w:rPr>
          <w:rFonts w:ascii="Arial" w:hAnsi="Arial"/>
          <w:sz w:val="22"/>
          <w:szCs w:val="22"/>
        </w:rPr>
        <w:t xml:space="preserve">navedenim </w:t>
      </w:r>
      <w:r w:rsidRPr="002F39BE">
        <w:rPr>
          <w:rFonts w:ascii="Arial" w:hAnsi="Arial"/>
          <w:sz w:val="22"/>
          <w:szCs w:val="22"/>
        </w:rPr>
        <w:t xml:space="preserve">zakonom propisana zaštita od svjetlosnog onečišćenja, radi nepostojanja provedbenih pravilnika taj se zakon ne može u potpunosti provesti. Međutim u postupku donošenja je Uredba o standardima upravljanja rasvijetljenošću, koja će jasnije definirati granice </w:t>
      </w:r>
      <w:proofErr w:type="spellStart"/>
      <w:r w:rsidRPr="002F39BE">
        <w:rPr>
          <w:rFonts w:ascii="Arial" w:hAnsi="Arial"/>
          <w:sz w:val="22"/>
          <w:szCs w:val="22"/>
        </w:rPr>
        <w:t>svjetlotehničkih</w:t>
      </w:r>
      <w:proofErr w:type="spellEnd"/>
      <w:r w:rsidRPr="002F39BE">
        <w:rPr>
          <w:rFonts w:ascii="Arial" w:hAnsi="Arial"/>
          <w:sz w:val="22"/>
          <w:szCs w:val="22"/>
        </w:rPr>
        <w:t xml:space="preserve"> parametra koje treba postignuti u sustavima javne rasvjete, kao i upravljanje ist</w:t>
      </w:r>
      <w:r>
        <w:rPr>
          <w:rFonts w:ascii="Arial" w:hAnsi="Arial"/>
          <w:sz w:val="22"/>
          <w:szCs w:val="22"/>
        </w:rPr>
        <w:t>om</w:t>
      </w:r>
      <w:r w:rsidRPr="002F39BE">
        <w:rPr>
          <w:rFonts w:ascii="Arial" w:hAnsi="Arial"/>
          <w:sz w:val="22"/>
          <w:szCs w:val="22"/>
        </w:rPr>
        <w:t>.</w:t>
      </w:r>
    </w:p>
    <w:p w:rsidR="00366B80" w:rsidRPr="002F39BE" w:rsidRDefault="00366B80" w:rsidP="00366B80">
      <w:pPr>
        <w:ind w:left="-142"/>
        <w:jc w:val="both"/>
        <w:rPr>
          <w:rFonts w:ascii="Arial" w:hAnsi="Arial"/>
          <w:sz w:val="22"/>
          <w:szCs w:val="22"/>
        </w:rPr>
      </w:pPr>
      <w:r w:rsidRPr="002F39BE">
        <w:rPr>
          <w:rFonts w:ascii="Arial" w:hAnsi="Arial"/>
          <w:sz w:val="22"/>
          <w:szCs w:val="22"/>
        </w:rPr>
        <w:t>Radi nepostojanja važećih pravilnika u ovom projektu uzimani su u obzir zahtjevi iz prijedloga Uredbe o standardima upravljanja rasvijetljenošću (isti kriteriji određeni su i u Javnom pozivu za neposredno sufinanciranje provedbe projekata energetski učinkovite i ekološke vanjske i javne rasvjete.)</w:t>
      </w: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r w:rsidRPr="002F39BE">
        <w:rPr>
          <w:rFonts w:ascii="Arial" w:hAnsi="Arial"/>
          <w:sz w:val="22"/>
          <w:szCs w:val="22"/>
        </w:rPr>
        <w:t xml:space="preserve">Niže </w:t>
      </w:r>
      <w:r>
        <w:rPr>
          <w:rFonts w:ascii="Arial" w:hAnsi="Arial"/>
          <w:sz w:val="22"/>
          <w:szCs w:val="22"/>
        </w:rPr>
        <w:t>se</w:t>
      </w:r>
      <w:r w:rsidRPr="002F39BE">
        <w:rPr>
          <w:rFonts w:ascii="Arial" w:hAnsi="Arial"/>
          <w:sz w:val="22"/>
          <w:szCs w:val="22"/>
        </w:rPr>
        <w:t xml:space="preserve"> </w:t>
      </w:r>
      <w:r>
        <w:rPr>
          <w:rFonts w:ascii="Arial" w:hAnsi="Arial"/>
          <w:sz w:val="22"/>
          <w:szCs w:val="22"/>
        </w:rPr>
        <w:t>daje</w:t>
      </w:r>
      <w:r w:rsidRPr="002F39BE">
        <w:rPr>
          <w:rFonts w:ascii="Arial" w:hAnsi="Arial"/>
          <w:sz w:val="22"/>
          <w:szCs w:val="22"/>
        </w:rPr>
        <w:t xml:space="preserve"> tablic</w:t>
      </w:r>
      <w:r>
        <w:rPr>
          <w:rFonts w:ascii="Arial" w:hAnsi="Arial"/>
          <w:sz w:val="22"/>
          <w:szCs w:val="22"/>
        </w:rPr>
        <w:t>e</w:t>
      </w:r>
      <w:r w:rsidRPr="002F39BE">
        <w:rPr>
          <w:rFonts w:ascii="Arial" w:hAnsi="Arial"/>
          <w:sz w:val="22"/>
          <w:szCs w:val="22"/>
        </w:rPr>
        <w:t xml:space="preserve"> zona rasvijetljenosti iz predmetne Uredbe</w:t>
      </w:r>
      <w:r>
        <w:rPr>
          <w:rFonts w:ascii="Arial" w:hAnsi="Arial"/>
          <w:sz w:val="22"/>
          <w:szCs w:val="22"/>
        </w:rPr>
        <w:t xml:space="preserve"> </w:t>
      </w:r>
    </w:p>
    <w:p w:rsidR="00366B80" w:rsidRDefault="00366B80" w:rsidP="00366B80">
      <w:pPr>
        <w:ind w:left="-142"/>
        <w:rPr>
          <w:rFonts w:ascii="Arial" w:hAnsi="Arial"/>
          <w:sz w:val="22"/>
          <w:szCs w:val="22"/>
        </w:rPr>
      </w:pPr>
    </w:p>
    <w:tbl>
      <w:tblPr>
        <w:tblW w:w="9498" w:type="dxa"/>
        <w:tblInd w:w="-34" w:type="dxa"/>
        <w:tblLook w:val="04A0" w:firstRow="1" w:lastRow="0" w:firstColumn="1" w:lastColumn="0" w:noHBand="0" w:noVBand="1"/>
      </w:tblPr>
      <w:tblGrid>
        <w:gridCol w:w="709"/>
        <w:gridCol w:w="2977"/>
        <w:gridCol w:w="4253"/>
        <w:gridCol w:w="1559"/>
      </w:tblGrid>
      <w:tr w:rsidR="00366B80" w:rsidRPr="0086054F" w:rsidTr="00055582">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B80" w:rsidRPr="0086054F" w:rsidRDefault="00366B80" w:rsidP="00055582">
            <w:pPr>
              <w:jc w:val="center"/>
              <w:rPr>
                <w:rFonts w:ascii="Arial" w:hAnsi="Arial" w:cs="Arial"/>
                <w:color w:val="000000"/>
                <w:lang w:eastAsia="hr-HR"/>
              </w:rPr>
            </w:pPr>
            <w:r>
              <w:rPr>
                <w:rFonts w:ascii="Arial" w:hAnsi="Arial" w:cs="Arial"/>
                <w:color w:val="000000"/>
                <w:lang w:eastAsia="hr-HR"/>
              </w:rPr>
              <w:t>Zona</w:t>
            </w:r>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86054F" w:rsidRDefault="00366B80" w:rsidP="00055582">
            <w:pPr>
              <w:jc w:val="center"/>
              <w:rPr>
                <w:rFonts w:ascii="Arial" w:hAnsi="Arial" w:cs="Arial"/>
                <w:color w:val="000000"/>
                <w:lang w:eastAsia="hr-HR"/>
              </w:rPr>
            </w:pPr>
            <w:r>
              <w:rPr>
                <w:rFonts w:ascii="Arial" w:hAnsi="Arial" w:cs="Arial"/>
                <w:color w:val="000000"/>
                <w:lang w:eastAsia="hr-HR"/>
              </w:rPr>
              <w:t>Opis</w:t>
            </w:r>
          </w:p>
        </w:tc>
        <w:tc>
          <w:tcPr>
            <w:tcW w:w="425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86054F" w:rsidRDefault="00366B80" w:rsidP="00055582">
            <w:pPr>
              <w:jc w:val="center"/>
              <w:rPr>
                <w:rFonts w:ascii="Arial" w:hAnsi="Arial" w:cs="Arial"/>
                <w:color w:val="000000"/>
                <w:lang w:eastAsia="hr-HR"/>
              </w:rPr>
            </w:pPr>
            <w:r>
              <w:rPr>
                <w:rFonts w:ascii="Arial" w:hAnsi="Arial" w:cs="Arial"/>
                <w:color w:val="000000"/>
                <w:lang w:eastAsia="hr-HR"/>
              </w:rPr>
              <w:t>Napomena</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366B80" w:rsidRDefault="00366B80" w:rsidP="00055582">
            <w:pPr>
              <w:jc w:val="center"/>
              <w:rPr>
                <w:rFonts w:ascii="Arial" w:hAnsi="Arial" w:cs="Arial"/>
                <w:color w:val="000000"/>
                <w:lang w:eastAsia="hr-HR"/>
              </w:rPr>
            </w:pPr>
            <w:proofErr w:type="spellStart"/>
            <w:r>
              <w:rPr>
                <w:rFonts w:ascii="Arial" w:hAnsi="Arial" w:cs="Arial"/>
                <w:color w:val="000000"/>
                <w:lang w:eastAsia="hr-HR"/>
              </w:rPr>
              <w:t>Svjetlenje</w:t>
            </w:r>
            <w:proofErr w:type="spellEnd"/>
            <w:r>
              <w:rPr>
                <w:rFonts w:ascii="Arial" w:hAnsi="Arial" w:cs="Arial"/>
                <w:color w:val="000000"/>
                <w:lang w:eastAsia="hr-HR"/>
              </w:rPr>
              <w:t xml:space="preserve"> neba</w:t>
            </w:r>
          </w:p>
          <w:p w:rsidR="00366B80" w:rsidRPr="0086054F" w:rsidRDefault="00366B80" w:rsidP="00055582">
            <w:pPr>
              <w:jc w:val="center"/>
              <w:rPr>
                <w:rFonts w:ascii="Arial" w:hAnsi="Arial" w:cs="Arial"/>
                <w:color w:val="000000"/>
                <w:lang w:eastAsia="hr-HR"/>
              </w:rPr>
            </w:pPr>
            <w:r>
              <w:rPr>
                <w:rFonts w:ascii="Arial" w:hAnsi="Arial" w:cs="Arial"/>
                <w:color w:val="000000"/>
                <w:lang w:eastAsia="hr-HR"/>
              </w:rPr>
              <w:t>ULOR (</w:t>
            </w:r>
            <w:proofErr w:type="spellStart"/>
            <w:r>
              <w:rPr>
                <w:rFonts w:ascii="Arial" w:hAnsi="Arial" w:cs="Arial"/>
                <w:color w:val="000000"/>
                <w:lang w:eastAsia="hr-HR"/>
              </w:rPr>
              <w:t>max</w:t>
            </w:r>
            <w:proofErr w:type="spellEnd"/>
            <w:r>
              <w:rPr>
                <w:rFonts w:ascii="Arial" w:hAnsi="Arial" w:cs="Arial"/>
                <w:color w:val="000000"/>
                <w:lang w:eastAsia="hr-HR"/>
              </w:rPr>
              <w:t>%)</w:t>
            </w:r>
          </w:p>
        </w:tc>
      </w:tr>
      <w:tr w:rsidR="00366B80" w:rsidRPr="0086054F" w:rsidTr="00055582">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E0</w:t>
            </w:r>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sidRPr="0029762D">
              <w:rPr>
                <w:rFonts w:ascii="Arial" w:hAnsi="Arial" w:cs="Arial"/>
                <w:color w:val="000000"/>
                <w:sz w:val="22"/>
                <w:szCs w:val="22"/>
                <w:lang w:eastAsia="hr-HR"/>
              </w:rPr>
              <w:t xml:space="preserve">Područje prirodne </w:t>
            </w:r>
            <w:proofErr w:type="spellStart"/>
            <w:r w:rsidRPr="0029762D">
              <w:rPr>
                <w:rFonts w:ascii="Arial" w:hAnsi="Arial" w:cs="Arial"/>
                <w:color w:val="000000"/>
                <w:sz w:val="22"/>
                <w:szCs w:val="22"/>
                <w:lang w:eastAsia="hr-HR"/>
              </w:rPr>
              <w:t>rasvjetljenosti</w:t>
            </w:r>
            <w:proofErr w:type="spellEnd"/>
          </w:p>
        </w:tc>
        <w:tc>
          <w:tcPr>
            <w:tcW w:w="425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sidRPr="0029762D">
              <w:rPr>
                <w:rFonts w:ascii="Arial" w:hAnsi="Arial" w:cs="Arial"/>
                <w:color w:val="000000"/>
                <w:sz w:val="22"/>
                <w:szCs w:val="22"/>
                <w:lang w:eastAsia="hr-HR"/>
              </w:rPr>
              <w:t>Blizina većih profesionalnih zvjezdarnica, Parkovi tamnog neba</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0</w:t>
            </w:r>
          </w:p>
        </w:tc>
      </w:tr>
      <w:tr w:rsidR="00366B80" w:rsidRPr="0086054F" w:rsidTr="00055582">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E1</w:t>
            </w:r>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sidRPr="0029762D">
              <w:rPr>
                <w:rFonts w:ascii="Arial" w:hAnsi="Arial" w:cs="Arial"/>
                <w:color w:val="000000"/>
                <w:sz w:val="22"/>
                <w:szCs w:val="22"/>
                <w:lang w:eastAsia="hr-HR"/>
              </w:rPr>
              <w:t>Područje tamnog krajolika</w:t>
            </w:r>
          </w:p>
        </w:tc>
        <w:tc>
          <w:tcPr>
            <w:tcW w:w="425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Pr>
                <w:rFonts w:ascii="Arial" w:hAnsi="Arial" w:cs="Arial"/>
                <w:color w:val="000000"/>
                <w:sz w:val="22"/>
                <w:szCs w:val="22"/>
                <w:lang w:eastAsia="hr-HR"/>
              </w:rPr>
              <w:t>Međumjesne lokalne prometnice, uglavnom nerazvrstane</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0</w:t>
            </w:r>
          </w:p>
        </w:tc>
      </w:tr>
      <w:tr w:rsidR="00366B80" w:rsidRPr="0086054F" w:rsidTr="00055582">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E2</w:t>
            </w:r>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sidRPr="0029762D">
              <w:rPr>
                <w:rFonts w:ascii="Arial" w:hAnsi="Arial" w:cs="Arial"/>
                <w:color w:val="000000"/>
                <w:sz w:val="22"/>
                <w:szCs w:val="22"/>
                <w:lang w:eastAsia="hr-HR"/>
              </w:rPr>
              <w:t xml:space="preserve">Područje niske ambijentalne </w:t>
            </w:r>
            <w:proofErr w:type="spellStart"/>
            <w:r w:rsidRPr="0029762D">
              <w:rPr>
                <w:rFonts w:ascii="Arial" w:hAnsi="Arial" w:cs="Arial"/>
                <w:color w:val="000000"/>
                <w:sz w:val="22"/>
                <w:szCs w:val="22"/>
                <w:lang w:eastAsia="hr-HR"/>
              </w:rPr>
              <w:t>rasvjetljenosti</w:t>
            </w:r>
            <w:proofErr w:type="spellEnd"/>
          </w:p>
        </w:tc>
        <w:tc>
          <w:tcPr>
            <w:tcW w:w="425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Pr>
                <w:rFonts w:ascii="Arial" w:hAnsi="Arial" w:cs="Arial"/>
                <w:color w:val="000000"/>
                <w:sz w:val="22"/>
                <w:szCs w:val="22"/>
                <w:lang w:eastAsia="hr-HR"/>
              </w:rPr>
              <w:t>Rezidencijalne zone</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2,5</w:t>
            </w:r>
          </w:p>
        </w:tc>
      </w:tr>
      <w:tr w:rsidR="00366B80" w:rsidRPr="0086054F" w:rsidTr="00055582">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E3</w:t>
            </w:r>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sidRPr="0029762D">
              <w:rPr>
                <w:rFonts w:ascii="Arial" w:hAnsi="Arial" w:cs="Arial"/>
                <w:color w:val="000000"/>
                <w:sz w:val="22"/>
                <w:szCs w:val="22"/>
                <w:lang w:eastAsia="hr-HR"/>
              </w:rPr>
              <w:t xml:space="preserve">Područje srednje ambijentalne </w:t>
            </w:r>
            <w:proofErr w:type="spellStart"/>
            <w:r w:rsidRPr="0029762D">
              <w:rPr>
                <w:rFonts w:ascii="Arial" w:hAnsi="Arial" w:cs="Arial"/>
                <w:color w:val="000000"/>
                <w:sz w:val="22"/>
                <w:szCs w:val="22"/>
                <w:lang w:eastAsia="hr-HR"/>
              </w:rPr>
              <w:t>rasvjetljenosti</w:t>
            </w:r>
            <w:proofErr w:type="spellEnd"/>
          </w:p>
        </w:tc>
        <w:tc>
          <w:tcPr>
            <w:tcW w:w="425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Pr>
                <w:rFonts w:ascii="Arial" w:hAnsi="Arial" w:cs="Arial"/>
                <w:color w:val="000000"/>
                <w:sz w:val="22"/>
                <w:szCs w:val="22"/>
                <w:lang w:eastAsia="hr-HR"/>
              </w:rPr>
              <w:t>Komunikacijske, industrijske i trgovačke zone</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5</w:t>
            </w:r>
          </w:p>
        </w:tc>
      </w:tr>
      <w:tr w:rsidR="00366B80" w:rsidRPr="0086054F" w:rsidTr="00055582">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E4</w:t>
            </w:r>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sidRPr="0029762D">
              <w:rPr>
                <w:rFonts w:ascii="Arial" w:hAnsi="Arial" w:cs="Arial"/>
                <w:color w:val="000000"/>
                <w:sz w:val="22"/>
                <w:szCs w:val="22"/>
                <w:lang w:eastAsia="hr-HR"/>
              </w:rPr>
              <w:t xml:space="preserve">Područje visoke ambijentalne </w:t>
            </w:r>
            <w:proofErr w:type="spellStart"/>
            <w:r w:rsidRPr="0029762D">
              <w:rPr>
                <w:rFonts w:ascii="Arial" w:hAnsi="Arial" w:cs="Arial"/>
                <w:color w:val="000000"/>
                <w:sz w:val="22"/>
                <w:szCs w:val="22"/>
                <w:lang w:eastAsia="hr-HR"/>
              </w:rPr>
              <w:t>rasvjetljenosti</w:t>
            </w:r>
            <w:proofErr w:type="spellEnd"/>
          </w:p>
        </w:tc>
        <w:tc>
          <w:tcPr>
            <w:tcW w:w="425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6B80" w:rsidRPr="0029762D" w:rsidRDefault="00366B80" w:rsidP="00055582">
            <w:pPr>
              <w:rPr>
                <w:rFonts w:ascii="Arial" w:hAnsi="Arial" w:cs="Arial"/>
                <w:color w:val="000000"/>
                <w:sz w:val="22"/>
                <w:szCs w:val="22"/>
                <w:lang w:eastAsia="hr-HR"/>
              </w:rPr>
            </w:pPr>
            <w:r>
              <w:rPr>
                <w:rFonts w:ascii="Arial" w:hAnsi="Arial" w:cs="Arial"/>
                <w:color w:val="000000"/>
                <w:sz w:val="22"/>
                <w:szCs w:val="22"/>
                <w:lang w:eastAsia="hr-HR"/>
              </w:rPr>
              <w:t>Urbana područja komercijalnog karaktera s visokim stupnjem noćne aktivnosti</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366B80" w:rsidRPr="0029762D" w:rsidRDefault="00366B80" w:rsidP="00055582">
            <w:pPr>
              <w:jc w:val="center"/>
              <w:rPr>
                <w:rFonts w:ascii="Arial" w:hAnsi="Arial" w:cs="Arial"/>
                <w:color w:val="000000"/>
                <w:sz w:val="22"/>
                <w:szCs w:val="22"/>
                <w:lang w:eastAsia="hr-HR"/>
              </w:rPr>
            </w:pPr>
            <w:r w:rsidRPr="0029762D">
              <w:rPr>
                <w:rFonts w:ascii="Arial" w:hAnsi="Arial" w:cs="Arial"/>
                <w:color w:val="000000"/>
                <w:sz w:val="22"/>
                <w:szCs w:val="22"/>
                <w:lang w:eastAsia="hr-HR"/>
              </w:rPr>
              <w:t>15</w:t>
            </w:r>
          </w:p>
        </w:tc>
      </w:tr>
    </w:tbl>
    <w:p w:rsidR="00366B80" w:rsidRDefault="00366B80" w:rsidP="00366B80">
      <w:pPr>
        <w:ind w:left="-142"/>
        <w:jc w:val="both"/>
        <w:rPr>
          <w:rFonts w:ascii="Arial" w:hAnsi="Arial"/>
          <w:sz w:val="22"/>
          <w:szCs w:val="22"/>
        </w:rPr>
      </w:pPr>
    </w:p>
    <w:p w:rsidR="00366B80" w:rsidRDefault="00366B80" w:rsidP="00366B80">
      <w:pPr>
        <w:ind w:left="-142"/>
        <w:rPr>
          <w:rFonts w:ascii="Arial" w:hAnsi="Arial"/>
          <w:sz w:val="22"/>
          <w:szCs w:val="22"/>
        </w:rPr>
      </w:pPr>
      <w:r>
        <w:rPr>
          <w:rFonts w:ascii="Arial" w:hAnsi="Arial"/>
          <w:sz w:val="22"/>
          <w:szCs w:val="22"/>
        </w:rPr>
        <w:t xml:space="preserve">Nadalje daju se tablice zona </w:t>
      </w:r>
      <w:proofErr w:type="spellStart"/>
      <w:r>
        <w:rPr>
          <w:rFonts w:ascii="Arial" w:hAnsi="Arial"/>
          <w:sz w:val="22"/>
          <w:szCs w:val="22"/>
        </w:rPr>
        <w:t>rasvjetljenosti</w:t>
      </w:r>
      <w:proofErr w:type="spellEnd"/>
      <w:r>
        <w:rPr>
          <w:rFonts w:ascii="Arial" w:hAnsi="Arial"/>
          <w:sz w:val="22"/>
          <w:szCs w:val="22"/>
        </w:rPr>
        <w:t xml:space="preserve"> za  postojeća rasvjetna tijela (svjetiljke i reflektori) za područje Luka Dubrovnik i to:</w:t>
      </w:r>
    </w:p>
    <w:p w:rsidR="00366B80" w:rsidRDefault="00366B80" w:rsidP="00366B80">
      <w:pPr>
        <w:ind w:left="-142"/>
        <w:rPr>
          <w:rFonts w:ascii="Arial" w:hAnsi="Arial"/>
          <w:sz w:val="22"/>
          <w:szCs w:val="22"/>
        </w:rPr>
      </w:pPr>
      <w:r>
        <w:rPr>
          <w:rFonts w:ascii="Arial" w:hAnsi="Arial"/>
          <w:sz w:val="22"/>
          <w:szCs w:val="22"/>
        </w:rPr>
        <w:t xml:space="preserve">                                                                                                                                                          </w:t>
      </w:r>
    </w:p>
    <w:p w:rsidR="00366B80" w:rsidRDefault="00366B80" w:rsidP="00366B80">
      <w:pPr>
        <w:ind w:left="-142"/>
        <w:rPr>
          <w:rFonts w:ascii="Arial" w:hAnsi="Arial"/>
          <w:sz w:val="22"/>
          <w:szCs w:val="22"/>
        </w:rPr>
      </w:pPr>
      <w:r>
        <w:rPr>
          <w:rFonts w:ascii="Arial" w:hAnsi="Arial"/>
          <w:sz w:val="22"/>
          <w:szCs w:val="22"/>
        </w:rPr>
        <w:t xml:space="preserve">„Tablica zadovoljavanja zaštite od svjetlosnog onečišćenja postojećih svjetiljki“ </w:t>
      </w:r>
    </w:p>
    <w:p w:rsidR="00366B80" w:rsidRDefault="00366B80" w:rsidP="00366B80">
      <w:pPr>
        <w:ind w:left="-142"/>
        <w:jc w:val="both"/>
        <w:rPr>
          <w:rFonts w:ascii="Arial" w:hAnsi="Arial"/>
          <w:sz w:val="22"/>
          <w:szCs w:val="22"/>
        </w:rPr>
      </w:pPr>
      <w:r>
        <w:rPr>
          <w:rFonts w:ascii="Arial" w:hAnsi="Arial"/>
          <w:sz w:val="22"/>
          <w:szCs w:val="22"/>
        </w:rPr>
        <w:t xml:space="preserve">i </w:t>
      </w:r>
    </w:p>
    <w:p w:rsidR="00366B80" w:rsidRDefault="00366B80" w:rsidP="00366B80">
      <w:pPr>
        <w:ind w:left="-142"/>
        <w:rPr>
          <w:rFonts w:ascii="Arial" w:hAnsi="Arial"/>
          <w:sz w:val="22"/>
          <w:szCs w:val="22"/>
        </w:rPr>
      </w:pPr>
      <w:r>
        <w:rPr>
          <w:rFonts w:ascii="Arial" w:hAnsi="Arial"/>
          <w:sz w:val="22"/>
          <w:szCs w:val="22"/>
        </w:rPr>
        <w:t xml:space="preserve">„Tablica zadovoljavanja zaštite od svjetlosnog onečišćenja postojećih reflektora“                        </w:t>
      </w:r>
    </w:p>
    <w:p w:rsidR="00366B80" w:rsidRDefault="00366B80" w:rsidP="00366B80">
      <w:pPr>
        <w:ind w:left="-142"/>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tbl>
      <w:tblPr>
        <w:tblW w:w="9498" w:type="dxa"/>
        <w:tblInd w:w="-34" w:type="dxa"/>
        <w:tblLook w:val="04A0" w:firstRow="1" w:lastRow="0" w:firstColumn="1" w:lastColumn="0" w:noHBand="0" w:noVBand="1"/>
      </w:tblPr>
      <w:tblGrid>
        <w:gridCol w:w="1145"/>
        <w:gridCol w:w="2568"/>
        <w:gridCol w:w="2383"/>
        <w:gridCol w:w="709"/>
        <w:gridCol w:w="708"/>
        <w:gridCol w:w="709"/>
        <w:gridCol w:w="630"/>
        <w:gridCol w:w="646"/>
      </w:tblGrid>
      <w:tr w:rsidR="00366B80" w:rsidRPr="0086054F" w:rsidTr="00055582">
        <w:trPr>
          <w:trHeight w:val="300"/>
        </w:trPr>
        <w:tc>
          <w:tcPr>
            <w:tcW w:w="9498" w:type="dxa"/>
            <w:gridSpan w:val="8"/>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366B80" w:rsidRPr="008E5654" w:rsidRDefault="00366B80" w:rsidP="00055582">
            <w:pPr>
              <w:jc w:val="center"/>
              <w:rPr>
                <w:rFonts w:ascii="Arial" w:hAnsi="Arial" w:cs="Arial"/>
                <w:color w:val="000000"/>
                <w:lang w:eastAsia="hr-HR"/>
              </w:rPr>
            </w:pPr>
            <w:r w:rsidRPr="008E5654">
              <w:rPr>
                <w:rFonts w:ascii="Arial" w:hAnsi="Arial" w:cs="Arial"/>
                <w:color w:val="000000"/>
                <w:lang w:eastAsia="hr-HR"/>
              </w:rPr>
              <w:t xml:space="preserve">TABLICA PRIKAZA ZADOVOLJAVANJA ZAŠTITE OD SVJETLOSNOG ONEČIŠĆENJA POSTOJEĆIH </w:t>
            </w:r>
            <w:r w:rsidRPr="008E5654">
              <w:rPr>
                <w:rFonts w:ascii="Arial" w:hAnsi="Arial" w:cs="Arial"/>
                <w:color w:val="000000"/>
                <w:lang w:eastAsia="hr-HR"/>
              </w:rPr>
              <w:lastRenderedPageBreak/>
              <w:t>SVJETILJKI</w:t>
            </w:r>
          </w:p>
        </w:tc>
      </w:tr>
      <w:tr w:rsidR="00366B80" w:rsidRPr="0086054F" w:rsidTr="00055582">
        <w:trPr>
          <w:trHeight w:val="300"/>
        </w:trPr>
        <w:tc>
          <w:tcPr>
            <w:tcW w:w="9498" w:type="dxa"/>
            <w:gridSpan w:val="8"/>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1"/>
                <w:szCs w:val="21"/>
                <w:lang w:eastAsia="hr-HR"/>
              </w:rPr>
            </w:pPr>
          </w:p>
        </w:tc>
      </w:tr>
      <w:tr w:rsidR="00366B80" w:rsidRPr="0086054F" w:rsidTr="00055582">
        <w:trPr>
          <w:trHeight w:val="450"/>
        </w:trPr>
        <w:tc>
          <w:tcPr>
            <w:tcW w:w="1145"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86054F" w:rsidRDefault="00366B80" w:rsidP="00055582">
            <w:pPr>
              <w:jc w:val="center"/>
              <w:rPr>
                <w:rFonts w:ascii="Arial" w:hAnsi="Arial" w:cs="Arial"/>
                <w:color w:val="000000"/>
                <w:lang w:eastAsia="hr-HR"/>
              </w:rPr>
            </w:pPr>
            <w:r w:rsidRPr="0086054F">
              <w:rPr>
                <w:rFonts w:ascii="Arial" w:hAnsi="Arial" w:cs="Arial"/>
                <w:color w:val="000000"/>
                <w:lang w:eastAsia="hr-HR"/>
              </w:rPr>
              <w:lastRenderedPageBreak/>
              <w:t>Redni broj</w:t>
            </w:r>
          </w:p>
        </w:tc>
        <w:tc>
          <w:tcPr>
            <w:tcW w:w="2568" w:type="dxa"/>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366B80" w:rsidRPr="0086054F" w:rsidRDefault="00366B80" w:rsidP="00055582">
            <w:pPr>
              <w:jc w:val="center"/>
              <w:rPr>
                <w:rFonts w:ascii="Arial" w:hAnsi="Arial" w:cs="Arial"/>
                <w:color w:val="000000"/>
                <w:lang w:eastAsia="hr-HR"/>
              </w:rPr>
            </w:pPr>
            <w:r w:rsidRPr="0086054F">
              <w:rPr>
                <w:rFonts w:ascii="Arial" w:hAnsi="Arial" w:cs="Arial"/>
                <w:color w:val="000000"/>
                <w:lang w:eastAsia="hr-HR"/>
              </w:rPr>
              <w:t>Tip svjetiljke</w:t>
            </w:r>
          </w:p>
        </w:tc>
        <w:tc>
          <w:tcPr>
            <w:tcW w:w="2383" w:type="dxa"/>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366B80" w:rsidRPr="0086054F" w:rsidRDefault="00366B80" w:rsidP="00055582">
            <w:pPr>
              <w:jc w:val="center"/>
              <w:rPr>
                <w:rFonts w:ascii="Arial" w:hAnsi="Arial" w:cs="Arial"/>
                <w:color w:val="000000"/>
                <w:lang w:eastAsia="hr-HR"/>
              </w:rPr>
            </w:pPr>
            <w:r w:rsidRPr="0086054F">
              <w:rPr>
                <w:rFonts w:ascii="Arial" w:hAnsi="Arial" w:cs="Arial"/>
                <w:color w:val="000000"/>
                <w:lang w:eastAsia="hr-HR"/>
              </w:rPr>
              <w:t>Izgled svjetiljke</w:t>
            </w:r>
          </w:p>
        </w:tc>
        <w:tc>
          <w:tcPr>
            <w:tcW w:w="3402" w:type="dxa"/>
            <w:gridSpan w:val="5"/>
            <w:tcBorders>
              <w:top w:val="single" w:sz="4" w:space="0" w:color="auto"/>
              <w:left w:val="nil"/>
              <w:bottom w:val="single" w:sz="4" w:space="0" w:color="auto"/>
              <w:right w:val="single" w:sz="4" w:space="0" w:color="000000"/>
            </w:tcBorders>
            <w:shd w:val="clear" w:color="000000" w:fill="D8D8D8"/>
            <w:vAlign w:val="center"/>
            <w:hideMark/>
          </w:tcPr>
          <w:p w:rsidR="00366B80" w:rsidRPr="0086054F" w:rsidRDefault="00366B80" w:rsidP="00055582">
            <w:pPr>
              <w:jc w:val="center"/>
              <w:rPr>
                <w:rFonts w:ascii="Arial" w:hAnsi="Arial" w:cs="Arial"/>
                <w:color w:val="000000"/>
                <w:lang w:eastAsia="hr-HR"/>
              </w:rPr>
            </w:pPr>
            <w:r w:rsidRPr="0086054F">
              <w:rPr>
                <w:rFonts w:ascii="Arial" w:hAnsi="Arial" w:cs="Arial"/>
                <w:color w:val="000000"/>
                <w:lang w:eastAsia="hr-HR"/>
              </w:rPr>
              <w:t>Usklađenost sa zaštitom od svjetlosnog onečišćenja</w:t>
            </w:r>
          </w:p>
        </w:tc>
      </w:tr>
      <w:tr w:rsidR="00366B80" w:rsidRPr="0086054F" w:rsidTr="00055582">
        <w:trPr>
          <w:trHeight w:val="450"/>
        </w:trPr>
        <w:tc>
          <w:tcPr>
            <w:tcW w:w="1145"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Arial" w:hAnsi="Arial" w:cs="Arial"/>
                <w:color w:val="000000"/>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Arial" w:hAnsi="Arial" w:cs="Arial"/>
                <w:color w:val="000000"/>
                <w:lang w:eastAsia="hr-HR"/>
              </w:rPr>
            </w:pPr>
          </w:p>
        </w:tc>
        <w:tc>
          <w:tcPr>
            <w:tcW w:w="2383"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Arial" w:hAnsi="Arial" w:cs="Arial"/>
                <w:color w:val="000000"/>
                <w:lang w:eastAsia="hr-HR"/>
              </w:rPr>
            </w:pPr>
          </w:p>
        </w:tc>
        <w:tc>
          <w:tcPr>
            <w:tcW w:w="709"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E0</w:t>
            </w:r>
          </w:p>
        </w:tc>
        <w:tc>
          <w:tcPr>
            <w:tcW w:w="708"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E1</w:t>
            </w:r>
          </w:p>
        </w:tc>
        <w:tc>
          <w:tcPr>
            <w:tcW w:w="709"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E2</w:t>
            </w:r>
          </w:p>
        </w:tc>
        <w:tc>
          <w:tcPr>
            <w:tcW w:w="630"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E3</w:t>
            </w:r>
          </w:p>
        </w:tc>
        <w:tc>
          <w:tcPr>
            <w:tcW w:w="646"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E4</w:t>
            </w:r>
          </w:p>
        </w:tc>
      </w:tr>
      <w:tr w:rsidR="00366B80" w:rsidRPr="00D27956" w:rsidTr="00055582">
        <w:trPr>
          <w:trHeight w:val="300"/>
        </w:trPr>
        <w:tc>
          <w:tcPr>
            <w:tcW w:w="11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1.</w:t>
            </w:r>
          </w:p>
        </w:tc>
        <w:tc>
          <w:tcPr>
            <w:tcW w:w="25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DUBROVNIK LVC-19           NAV-E 250 W; TEP</w:t>
            </w:r>
          </w:p>
        </w:tc>
        <w:tc>
          <w:tcPr>
            <w:tcW w:w="2383" w:type="dxa"/>
            <w:vMerge w:val="restart"/>
            <w:tcBorders>
              <w:top w:val="nil"/>
              <w:left w:val="nil"/>
              <w:bottom w:val="single" w:sz="4" w:space="0" w:color="000000"/>
              <w:right w:val="single" w:sz="4" w:space="0" w:color="000000"/>
            </w:tcBorders>
            <w:shd w:val="clear" w:color="auto" w:fill="auto"/>
            <w:noWrap/>
            <w:vAlign w:val="bottom"/>
            <w:hideMark/>
          </w:tcPr>
          <w:p w:rsidR="00366B80" w:rsidRPr="0086054F"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71552" behindDoc="0" locked="0" layoutInCell="1" allowOverlap="1">
                  <wp:simplePos x="0" y="0"/>
                  <wp:positionH relativeFrom="column">
                    <wp:posOffset>336550</wp:posOffset>
                  </wp:positionH>
                  <wp:positionV relativeFrom="paragraph">
                    <wp:posOffset>9525</wp:posOffset>
                  </wp:positionV>
                  <wp:extent cx="752475" cy="680720"/>
                  <wp:effectExtent l="0" t="0" r="0" b="508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0"/>
                          <pic:cNvPicPr/>
                        </pic:nvPicPr>
                        <pic:blipFill>
                          <a:blip r:embed="rId6" cstate="print"/>
                          <a:srcRect/>
                          <a:stretch>
                            <a:fillRect/>
                          </a:stretch>
                        </pic:blipFill>
                        <pic:spPr bwMode="auto">
                          <a:xfrm>
                            <a:off x="0" y="0"/>
                            <a:ext cx="747467" cy="7269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366B80" w:rsidRPr="0086054F" w:rsidTr="00055582">
              <w:trPr>
                <w:trHeight w:val="270"/>
                <w:tblCellSpacing w:w="0" w:type="dxa"/>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 </w:t>
                  </w:r>
                </w:p>
              </w:tc>
            </w:tr>
            <w:tr w:rsidR="00366B80" w:rsidRPr="0086054F" w:rsidTr="00055582">
              <w:trPr>
                <w:trHeight w:val="27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r>
          </w:tbl>
          <w:p w:rsidR="00366B80" w:rsidRPr="0086054F" w:rsidRDefault="00366B80" w:rsidP="00055582">
            <w:pPr>
              <w:rPr>
                <w:rFonts w:ascii="Calibri" w:hAnsi="Calibri"/>
                <w:color w:val="000000"/>
                <w:sz w:val="22"/>
                <w:szCs w:val="22"/>
                <w:lang w:eastAsia="hr-H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NE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NE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r>
      <w:tr w:rsidR="00366B80" w:rsidRPr="00D27956" w:rsidTr="00055582">
        <w:trPr>
          <w:trHeight w:val="300"/>
        </w:trPr>
        <w:tc>
          <w:tcPr>
            <w:tcW w:w="1145"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300"/>
        </w:trPr>
        <w:tc>
          <w:tcPr>
            <w:tcW w:w="1145"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270"/>
        </w:trPr>
        <w:tc>
          <w:tcPr>
            <w:tcW w:w="1145"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auto"/>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300"/>
        </w:trPr>
        <w:tc>
          <w:tcPr>
            <w:tcW w:w="11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2.</w:t>
            </w:r>
          </w:p>
        </w:tc>
        <w:tc>
          <w:tcPr>
            <w:tcW w:w="25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GAMALUX LVC-16 NAV 250 W; TEP</w:t>
            </w:r>
          </w:p>
        </w:tc>
        <w:tc>
          <w:tcPr>
            <w:tcW w:w="2383" w:type="dxa"/>
            <w:vMerge w:val="restart"/>
            <w:tcBorders>
              <w:top w:val="nil"/>
              <w:left w:val="nil"/>
              <w:bottom w:val="single" w:sz="4" w:space="0" w:color="000000"/>
              <w:right w:val="single" w:sz="4" w:space="0" w:color="000000"/>
            </w:tcBorders>
            <w:shd w:val="clear" w:color="auto" w:fill="auto"/>
            <w:noWrap/>
            <w:vAlign w:val="bottom"/>
            <w:hideMark/>
          </w:tcPr>
          <w:p w:rsidR="00366B80" w:rsidRPr="0086054F"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70528" behindDoc="0" locked="0" layoutInCell="1" allowOverlap="1">
                  <wp:simplePos x="0" y="0"/>
                  <wp:positionH relativeFrom="column">
                    <wp:posOffset>192405</wp:posOffset>
                  </wp:positionH>
                  <wp:positionV relativeFrom="paragraph">
                    <wp:posOffset>32385</wp:posOffset>
                  </wp:positionV>
                  <wp:extent cx="995045" cy="664845"/>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29"/>
                          <pic:cNvPicPr/>
                        </pic:nvPicPr>
                        <pic:blipFill>
                          <a:blip r:embed="rId7" cstate="print"/>
                          <a:srcRect/>
                          <a:stretch>
                            <a:fillRect/>
                          </a:stretch>
                        </pic:blipFill>
                        <pic:spPr bwMode="auto">
                          <a:xfrm>
                            <a:off x="0" y="0"/>
                            <a:ext cx="1093871" cy="70735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366B80" w:rsidRPr="0086054F" w:rsidTr="00055582">
              <w:trPr>
                <w:trHeight w:val="270"/>
                <w:tblCellSpacing w:w="0" w:type="dxa"/>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 </w:t>
                  </w:r>
                </w:p>
              </w:tc>
            </w:tr>
            <w:tr w:rsidR="00366B80" w:rsidRPr="0086054F" w:rsidTr="00055582">
              <w:trPr>
                <w:trHeight w:val="27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r>
          </w:tbl>
          <w:p w:rsidR="00366B80" w:rsidRPr="0086054F" w:rsidRDefault="00366B80" w:rsidP="00055582">
            <w:pPr>
              <w:rPr>
                <w:rFonts w:ascii="Calibri" w:hAnsi="Calibri"/>
                <w:color w:val="000000"/>
                <w:sz w:val="22"/>
                <w:szCs w:val="22"/>
                <w:lang w:eastAsia="hr-H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NE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NE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r>
      <w:tr w:rsidR="00366B80" w:rsidRPr="00D27956" w:rsidTr="00055582">
        <w:trPr>
          <w:trHeight w:val="300"/>
        </w:trPr>
        <w:tc>
          <w:tcPr>
            <w:tcW w:w="1145"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300"/>
        </w:trPr>
        <w:tc>
          <w:tcPr>
            <w:tcW w:w="1145"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270"/>
        </w:trPr>
        <w:tc>
          <w:tcPr>
            <w:tcW w:w="1145"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auto"/>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300"/>
        </w:trPr>
        <w:tc>
          <w:tcPr>
            <w:tcW w:w="11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3.</w:t>
            </w:r>
          </w:p>
        </w:tc>
        <w:tc>
          <w:tcPr>
            <w:tcW w:w="25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GAMALUX LVC-16THV VTHF 400 W; TEP</w:t>
            </w:r>
          </w:p>
        </w:tc>
        <w:tc>
          <w:tcPr>
            <w:tcW w:w="2383" w:type="dxa"/>
            <w:vMerge w:val="restart"/>
            <w:tcBorders>
              <w:top w:val="nil"/>
              <w:left w:val="nil"/>
              <w:bottom w:val="single" w:sz="4" w:space="0" w:color="000000"/>
              <w:right w:val="single" w:sz="4" w:space="0" w:color="000000"/>
            </w:tcBorders>
            <w:shd w:val="clear" w:color="auto" w:fill="auto"/>
            <w:noWrap/>
            <w:vAlign w:val="bottom"/>
            <w:hideMark/>
          </w:tcPr>
          <w:p w:rsidR="00366B80" w:rsidRPr="0086054F"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69504" behindDoc="0" locked="0" layoutInCell="1" allowOverlap="1">
                  <wp:simplePos x="0" y="0"/>
                  <wp:positionH relativeFrom="column">
                    <wp:posOffset>193675</wp:posOffset>
                  </wp:positionH>
                  <wp:positionV relativeFrom="paragraph">
                    <wp:posOffset>29845</wp:posOffset>
                  </wp:positionV>
                  <wp:extent cx="1005205" cy="57277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8"/>
                          <pic:cNvPicPr/>
                        </pic:nvPicPr>
                        <pic:blipFill>
                          <a:blip r:embed="rId8" cstate="print"/>
                          <a:srcRect/>
                          <a:stretch>
                            <a:fillRect/>
                          </a:stretch>
                        </pic:blipFill>
                        <pic:spPr bwMode="auto">
                          <a:xfrm>
                            <a:off x="0" y="0"/>
                            <a:ext cx="1104899" cy="63817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366B80" w:rsidRPr="0086054F" w:rsidTr="00055582">
              <w:trPr>
                <w:trHeight w:val="270"/>
                <w:tblCellSpacing w:w="0" w:type="dxa"/>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 </w:t>
                  </w:r>
                </w:p>
              </w:tc>
            </w:tr>
            <w:tr w:rsidR="00366B80" w:rsidRPr="0086054F" w:rsidTr="00055582">
              <w:trPr>
                <w:trHeight w:val="27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r>
          </w:tbl>
          <w:p w:rsidR="00366B80" w:rsidRPr="0086054F" w:rsidRDefault="00366B80" w:rsidP="00055582">
            <w:pPr>
              <w:rPr>
                <w:rFonts w:ascii="Calibri" w:hAnsi="Calibri"/>
                <w:color w:val="000000"/>
                <w:sz w:val="22"/>
                <w:szCs w:val="22"/>
                <w:lang w:eastAsia="hr-H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NE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NE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r>
      <w:tr w:rsidR="00366B80" w:rsidRPr="00D27956" w:rsidTr="00055582">
        <w:trPr>
          <w:trHeight w:val="300"/>
        </w:trPr>
        <w:tc>
          <w:tcPr>
            <w:tcW w:w="1145"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300"/>
        </w:trPr>
        <w:tc>
          <w:tcPr>
            <w:tcW w:w="1145"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270"/>
        </w:trPr>
        <w:tc>
          <w:tcPr>
            <w:tcW w:w="1145"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auto"/>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300"/>
        </w:trPr>
        <w:tc>
          <w:tcPr>
            <w:tcW w:w="11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4.</w:t>
            </w:r>
          </w:p>
        </w:tc>
        <w:tc>
          <w:tcPr>
            <w:tcW w:w="25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KAOS 2 1x250 W; TEP</w:t>
            </w:r>
          </w:p>
        </w:tc>
        <w:tc>
          <w:tcPr>
            <w:tcW w:w="2383" w:type="dxa"/>
            <w:vMerge w:val="restart"/>
            <w:tcBorders>
              <w:top w:val="nil"/>
              <w:left w:val="nil"/>
              <w:bottom w:val="single" w:sz="4" w:space="0" w:color="000000"/>
              <w:right w:val="single" w:sz="4" w:space="0" w:color="000000"/>
            </w:tcBorders>
            <w:shd w:val="clear" w:color="auto" w:fill="auto"/>
            <w:noWrap/>
            <w:vAlign w:val="bottom"/>
            <w:hideMark/>
          </w:tcPr>
          <w:p w:rsidR="00366B80" w:rsidRPr="0086054F"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72576" behindDoc="0" locked="0" layoutInCell="1" allowOverlap="1">
                  <wp:simplePos x="0" y="0"/>
                  <wp:positionH relativeFrom="column">
                    <wp:posOffset>196215</wp:posOffset>
                  </wp:positionH>
                  <wp:positionV relativeFrom="paragraph">
                    <wp:posOffset>19050</wp:posOffset>
                  </wp:positionV>
                  <wp:extent cx="1085850" cy="641350"/>
                  <wp:effectExtent l="0" t="0" r="0" b="6350"/>
                  <wp:wrapNone/>
                  <wp:docPr id="32" name="Picture 32"/>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9" cstate="print"/>
                          <a:srcRect/>
                          <a:stretch>
                            <a:fillRect/>
                          </a:stretch>
                        </pic:blipFill>
                        <pic:spPr bwMode="auto">
                          <a:xfrm>
                            <a:off x="0" y="0"/>
                            <a:ext cx="1078330" cy="71688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366B80" w:rsidRPr="0086054F" w:rsidTr="00055582">
              <w:trPr>
                <w:trHeight w:val="270"/>
                <w:tblCellSpacing w:w="0" w:type="dxa"/>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 </w:t>
                  </w:r>
                </w:p>
              </w:tc>
            </w:tr>
            <w:tr w:rsidR="00366B80" w:rsidRPr="0086054F" w:rsidTr="00055582">
              <w:trPr>
                <w:trHeight w:val="27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r>
          </w:tbl>
          <w:p w:rsidR="00366B80" w:rsidRPr="0086054F" w:rsidRDefault="00366B80" w:rsidP="00055582">
            <w:pPr>
              <w:rPr>
                <w:rFonts w:ascii="Calibri" w:hAnsi="Calibri"/>
                <w:color w:val="000000"/>
                <w:sz w:val="22"/>
                <w:szCs w:val="22"/>
                <w:lang w:eastAsia="hr-H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86054F" w:rsidRDefault="00366B80" w:rsidP="00055582">
            <w:pPr>
              <w:jc w:val="center"/>
              <w:rPr>
                <w:rFonts w:ascii="Calibri" w:hAnsi="Calibri"/>
                <w:color w:val="000000"/>
                <w:sz w:val="22"/>
                <w:szCs w:val="22"/>
                <w:lang w:eastAsia="hr-HR"/>
              </w:rPr>
            </w:pPr>
            <w:r w:rsidRPr="0086054F">
              <w:rPr>
                <w:rFonts w:ascii="Calibri" w:hAnsi="Calibri"/>
                <w:color w:val="000000"/>
                <w:sz w:val="22"/>
                <w:szCs w:val="22"/>
                <w:lang w:eastAsia="hr-HR"/>
              </w:rPr>
              <w:t>DA</w:t>
            </w:r>
          </w:p>
        </w:tc>
      </w:tr>
      <w:tr w:rsidR="00366B80" w:rsidRPr="00D27956" w:rsidTr="00055582">
        <w:trPr>
          <w:trHeight w:val="300"/>
        </w:trPr>
        <w:tc>
          <w:tcPr>
            <w:tcW w:w="1145"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300"/>
        </w:trPr>
        <w:tc>
          <w:tcPr>
            <w:tcW w:w="1145"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r w:rsidR="00366B80" w:rsidRPr="00D27956" w:rsidTr="00055582">
        <w:trPr>
          <w:trHeight w:val="270"/>
        </w:trPr>
        <w:tc>
          <w:tcPr>
            <w:tcW w:w="1145"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2568" w:type="dxa"/>
            <w:vMerge/>
            <w:tcBorders>
              <w:top w:val="single" w:sz="4" w:space="0" w:color="auto"/>
              <w:left w:val="single" w:sz="4" w:space="0" w:color="auto"/>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2383" w:type="dxa"/>
            <w:vMerge/>
            <w:tcBorders>
              <w:top w:val="nil"/>
              <w:left w:val="nil"/>
              <w:bottom w:val="single" w:sz="4" w:space="0" w:color="000000"/>
              <w:right w:val="single" w:sz="4" w:space="0" w:color="000000"/>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30"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c>
          <w:tcPr>
            <w:tcW w:w="646" w:type="dxa"/>
            <w:vMerge/>
            <w:tcBorders>
              <w:top w:val="nil"/>
              <w:left w:val="single" w:sz="4" w:space="0" w:color="auto"/>
              <w:bottom w:val="single" w:sz="4" w:space="0" w:color="000000"/>
              <w:right w:val="single" w:sz="4" w:space="0" w:color="auto"/>
            </w:tcBorders>
            <w:vAlign w:val="center"/>
            <w:hideMark/>
          </w:tcPr>
          <w:p w:rsidR="00366B80" w:rsidRPr="0086054F" w:rsidRDefault="00366B80" w:rsidP="00055582">
            <w:pPr>
              <w:rPr>
                <w:rFonts w:ascii="Calibri" w:hAnsi="Calibri"/>
                <w:color w:val="000000"/>
                <w:sz w:val="22"/>
                <w:szCs w:val="22"/>
                <w:lang w:eastAsia="hr-HR"/>
              </w:rPr>
            </w:pPr>
          </w:p>
        </w:tc>
      </w:tr>
    </w:tbl>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Pr="00D27956" w:rsidRDefault="00366B80" w:rsidP="00366B80">
      <w:pPr>
        <w:ind w:left="-142"/>
        <w:jc w:val="both"/>
        <w:rPr>
          <w:rFonts w:ascii="Arial" w:hAnsi="Arial"/>
          <w:sz w:val="22"/>
          <w:szCs w:val="22"/>
        </w:rPr>
      </w:pPr>
    </w:p>
    <w:tbl>
      <w:tblPr>
        <w:tblW w:w="9498" w:type="dxa"/>
        <w:tblInd w:w="-34" w:type="dxa"/>
        <w:tblLook w:val="04A0" w:firstRow="1" w:lastRow="0" w:firstColumn="1" w:lastColumn="0" w:noHBand="0" w:noVBand="1"/>
      </w:tblPr>
      <w:tblGrid>
        <w:gridCol w:w="1129"/>
        <w:gridCol w:w="2666"/>
        <w:gridCol w:w="2301"/>
        <w:gridCol w:w="709"/>
        <w:gridCol w:w="708"/>
        <w:gridCol w:w="709"/>
        <w:gridCol w:w="636"/>
        <w:gridCol w:w="640"/>
      </w:tblGrid>
      <w:tr w:rsidR="00366B80" w:rsidRPr="00715E7B" w:rsidTr="00055582">
        <w:trPr>
          <w:trHeight w:val="300"/>
        </w:trPr>
        <w:tc>
          <w:tcPr>
            <w:tcW w:w="9498" w:type="dxa"/>
            <w:gridSpan w:val="8"/>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TABLICA PRIKAZA ZADOVOLJAVANJA ZAŠTITE OD SVJETLOSNOG ONEČIŠĆENJA POSTOJEĆIH REFLEKTORA</w:t>
            </w:r>
          </w:p>
        </w:tc>
      </w:tr>
      <w:tr w:rsidR="00366B80" w:rsidRPr="00715E7B" w:rsidTr="00055582">
        <w:trPr>
          <w:trHeight w:val="300"/>
        </w:trPr>
        <w:tc>
          <w:tcPr>
            <w:tcW w:w="9498" w:type="dxa"/>
            <w:gridSpan w:val="8"/>
            <w:vMerge/>
            <w:tcBorders>
              <w:top w:val="single" w:sz="4" w:space="0" w:color="auto"/>
              <w:left w:val="single" w:sz="4" w:space="0" w:color="auto"/>
              <w:bottom w:val="single" w:sz="4" w:space="0" w:color="000000"/>
              <w:right w:val="single" w:sz="4" w:space="0" w:color="000000"/>
            </w:tcBorders>
            <w:vAlign w:val="center"/>
            <w:hideMark/>
          </w:tcPr>
          <w:p w:rsidR="00366B80" w:rsidRPr="00952E12" w:rsidRDefault="00366B80" w:rsidP="00055582">
            <w:pPr>
              <w:rPr>
                <w:rFonts w:ascii="Arial" w:hAnsi="Arial" w:cs="Arial"/>
                <w:color w:val="000000"/>
                <w:sz w:val="21"/>
                <w:szCs w:val="21"/>
                <w:lang w:eastAsia="hr-HR"/>
              </w:rPr>
            </w:pPr>
          </w:p>
        </w:tc>
      </w:tr>
      <w:tr w:rsidR="00366B80" w:rsidRPr="00715E7B" w:rsidTr="00055582">
        <w:trPr>
          <w:trHeight w:val="300"/>
        </w:trPr>
        <w:tc>
          <w:tcPr>
            <w:tcW w:w="1129" w:type="dxa"/>
            <w:vMerge w:val="restart"/>
            <w:tcBorders>
              <w:top w:val="nil"/>
              <w:left w:val="single" w:sz="4" w:space="0" w:color="auto"/>
              <w:bottom w:val="single" w:sz="4" w:space="0" w:color="000000"/>
              <w:right w:val="single" w:sz="4" w:space="0" w:color="auto"/>
            </w:tcBorders>
            <w:shd w:val="clear" w:color="000000" w:fill="D8D8D8"/>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Redni broj</w:t>
            </w:r>
          </w:p>
        </w:tc>
        <w:tc>
          <w:tcPr>
            <w:tcW w:w="2666" w:type="dxa"/>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Tip reflektora</w:t>
            </w:r>
          </w:p>
        </w:tc>
        <w:tc>
          <w:tcPr>
            <w:tcW w:w="2301" w:type="dxa"/>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Izgled reflektora</w:t>
            </w:r>
          </w:p>
        </w:tc>
        <w:tc>
          <w:tcPr>
            <w:tcW w:w="3402" w:type="dxa"/>
            <w:gridSpan w:val="5"/>
            <w:tcBorders>
              <w:top w:val="single" w:sz="4" w:space="0" w:color="auto"/>
              <w:left w:val="nil"/>
              <w:bottom w:val="single" w:sz="4" w:space="0" w:color="auto"/>
              <w:right w:val="single" w:sz="4" w:space="0" w:color="000000"/>
            </w:tcBorders>
            <w:shd w:val="clear" w:color="000000" w:fill="D8D8D8"/>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Usklađenost sa zaštitom od svjetlosnog onečišćenja</w:t>
            </w:r>
          </w:p>
        </w:tc>
      </w:tr>
      <w:tr w:rsidR="00366B80" w:rsidRPr="00715E7B" w:rsidTr="00055582">
        <w:trPr>
          <w:trHeight w:val="300"/>
        </w:trPr>
        <w:tc>
          <w:tcPr>
            <w:tcW w:w="1129" w:type="dxa"/>
            <w:vMerge/>
            <w:tcBorders>
              <w:top w:val="nil"/>
              <w:left w:val="single" w:sz="4" w:space="0" w:color="auto"/>
              <w:bottom w:val="single" w:sz="4" w:space="0" w:color="auto"/>
              <w:right w:val="single" w:sz="4" w:space="0" w:color="auto"/>
            </w:tcBorders>
            <w:vAlign w:val="center"/>
            <w:hideMark/>
          </w:tcPr>
          <w:p w:rsidR="00366B80" w:rsidRPr="00952E12" w:rsidRDefault="00366B80" w:rsidP="00055582">
            <w:pPr>
              <w:rPr>
                <w:rFonts w:ascii="Arial" w:hAnsi="Arial" w:cs="Arial"/>
                <w:color w:val="000000"/>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952E12" w:rsidRDefault="00366B80" w:rsidP="00055582">
            <w:pPr>
              <w:rPr>
                <w:rFonts w:ascii="Arial" w:hAnsi="Arial" w:cs="Arial"/>
                <w:color w:val="000000"/>
                <w:lang w:eastAsia="hr-HR"/>
              </w:rPr>
            </w:pPr>
          </w:p>
        </w:tc>
        <w:tc>
          <w:tcPr>
            <w:tcW w:w="2301" w:type="dxa"/>
            <w:vMerge/>
            <w:tcBorders>
              <w:top w:val="single" w:sz="4" w:space="0" w:color="auto"/>
              <w:left w:val="single" w:sz="4" w:space="0" w:color="auto"/>
              <w:bottom w:val="single" w:sz="4" w:space="0" w:color="000000"/>
              <w:right w:val="single" w:sz="4" w:space="0" w:color="000000"/>
            </w:tcBorders>
            <w:vAlign w:val="center"/>
            <w:hideMark/>
          </w:tcPr>
          <w:p w:rsidR="00366B80" w:rsidRPr="00952E12" w:rsidRDefault="00366B80" w:rsidP="00055582">
            <w:pPr>
              <w:rPr>
                <w:rFonts w:ascii="Arial" w:hAnsi="Arial" w:cs="Arial"/>
                <w:color w:val="000000"/>
                <w:lang w:eastAsia="hr-HR"/>
              </w:rPr>
            </w:pPr>
          </w:p>
        </w:tc>
        <w:tc>
          <w:tcPr>
            <w:tcW w:w="709"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E0</w:t>
            </w:r>
          </w:p>
        </w:tc>
        <w:tc>
          <w:tcPr>
            <w:tcW w:w="708"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E1</w:t>
            </w:r>
          </w:p>
        </w:tc>
        <w:tc>
          <w:tcPr>
            <w:tcW w:w="709"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E2</w:t>
            </w:r>
          </w:p>
        </w:tc>
        <w:tc>
          <w:tcPr>
            <w:tcW w:w="636"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E3</w:t>
            </w:r>
          </w:p>
        </w:tc>
        <w:tc>
          <w:tcPr>
            <w:tcW w:w="640" w:type="dxa"/>
            <w:tcBorders>
              <w:top w:val="nil"/>
              <w:left w:val="nil"/>
              <w:bottom w:val="single" w:sz="4" w:space="0" w:color="auto"/>
              <w:right w:val="single" w:sz="4" w:space="0" w:color="auto"/>
            </w:tcBorders>
            <w:shd w:val="clear" w:color="000000" w:fill="D8D8D8"/>
            <w:noWrap/>
            <w:vAlign w:val="center"/>
            <w:hideMark/>
          </w:tcPr>
          <w:p w:rsidR="00366B80" w:rsidRPr="00952E12" w:rsidRDefault="00366B80" w:rsidP="00055582">
            <w:pPr>
              <w:jc w:val="center"/>
              <w:rPr>
                <w:rFonts w:ascii="Arial" w:hAnsi="Arial" w:cs="Arial"/>
                <w:color w:val="000000"/>
                <w:lang w:eastAsia="hr-HR"/>
              </w:rPr>
            </w:pPr>
            <w:r w:rsidRPr="00952E12">
              <w:rPr>
                <w:rFonts w:ascii="Arial" w:hAnsi="Arial" w:cs="Arial"/>
                <w:color w:val="000000"/>
                <w:lang w:eastAsia="hr-HR"/>
              </w:rPr>
              <w:t>E4</w:t>
            </w:r>
          </w:p>
        </w:tc>
      </w:tr>
      <w:tr w:rsidR="00366B80" w:rsidRPr="00715E7B" w:rsidTr="00055582">
        <w:trPr>
          <w:trHeight w:val="30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1.</w:t>
            </w:r>
          </w:p>
        </w:tc>
        <w:tc>
          <w:tcPr>
            <w:tcW w:w="26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xml:space="preserve">CROSS AS                        </w:t>
            </w:r>
            <w:r>
              <w:rPr>
                <w:rFonts w:ascii="Calibri" w:hAnsi="Calibri"/>
                <w:color w:val="000000"/>
                <w:sz w:val="22"/>
                <w:szCs w:val="22"/>
                <w:lang w:eastAsia="hr-HR"/>
              </w:rPr>
              <w:t xml:space="preserve"> </w:t>
            </w:r>
            <w:r w:rsidRPr="00715E7B">
              <w:rPr>
                <w:rFonts w:ascii="Calibri" w:hAnsi="Calibri"/>
                <w:color w:val="000000"/>
                <w:sz w:val="22"/>
                <w:szCs w:val="22"/>
                <w:lang w:eastAsia="hr-HR"/>
              </w:rPr>
              <w:t>HPI-T 250 W; TEP</w:t>
            </w:r>
          </w:p>
        </w:tc>
        <w:tc>
          <w:tcPr>
            <w:tcW w:w="2301" w:type="dxa"/>
            <w:vMerge w:val="restart"/>
            <w:tcBorders>
              <w:top w:val="nil"/>
              <w:left w:val="nil"/>
              <w:bottom w:val="single" w:sz="4" w:space="0" w:color="000000"/>
              <w:right w:val="single" w:sz="4" w:space="0" w:color="000000"/>
            </w:tcBorders>
            <w:shd w:val="clear" w:color="auto" w:fill="auto"/>
            <w:noWrap/>
            <w:vAlign w:val="bottom"/>
            <w:hideMark/>
          </w:tcPr>
          <w:p w:rsidR="00366B80" w:rsidRPr="00715E7B"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77696" behindDoc="0" locked="0" layoutInCell="1" allowOverlap="1">
                  <wp:simplePos x="0" y="0"/>
                  <wp:positionH relativeFrom="column">
                    <wp:posOffset>281305</wp:posOffset>
                  </wp:positionH>
                  <wp:positionV relativeFrom="paragraph">
                    <wp:posOffset>29845</wp:posOffset>
                  </wp:positionV>
                  <wp:extent cx="723900" cy="7239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0" cstate="print"/>
                          <a:srcRect/>
                          <a:stretch>
                            <a:fillRect/>
                          </a:stretch>
                        </pic:blipFill>
                        <pic:spPr bwMode="auto">
                          <a:xfrm>
                            <a:off x="0" y="0"/>
                            <a:ext cx="707362" cy="7118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366B80" w:rsidRPr="00715E7B" w:rsidTr="00055582">
              <w:trPr>
                <w:trHeight w:val="270"/>
                <w:tblCellSpacing w:w="0" w:type="dxa"/>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w:t>
                  </w:r>
                </w:p>
              </w:tc>
            </w:tr>
            <w:tr w:rsidR="00366B80" w:rsidRPr="00715E7B" w:rsidTr="00055582">
              <w:trPr>
                <w:trHeight w:val="27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r>
          </w:tbl>
          <w:p w:rsidR="00366B80" w:rsidRPr="00715E7B" w:rsidRDefault="00366B80" w:rsidP="00055582">
            <w:pPr>
              <w:rPr>
                <w:rFonts w:ascii="Calibri" w:hAnsi="Calibri"/>
                <w:color w:val="000000"/>
                <w:sz w:val="22"/>
                <w:szCs w:val="22"/>
                <w:lang w:eastAsia="hr-H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NE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NE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2.</w:t>
            </w:r>
          </w:p>
        </w:tc>
        <w:tc>
          <w:tcPr>
            <w:tcW w:w="26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xml:space="preserve">CONTINENTAL AS         </w:t>
            </w:r>
            <w:r>
              <w:rPr>
                <w:rFonts w:ascii="Calibri" w:hAnsi="Calibri"/>
                <w:color w:val="000000"/>
                <w:sz w:val="22"/>
                <w:szCs w:val="22"/>
                <w:lang w:eastAsia="hr-HR"/>
              </w:rPr>
              <w:t xml:space="preserve"> </w:t>
            </w:r>
            <w:r w:rsidRPr="00715E7B">
              <w:rPr>
                <w:rFonts w:ascii="Calibri" w:hAnsi="Calibri"/>
                <w:color w:val="000000"/>
                <w:sz w:val="22"/>
                <w:szCs w:val="22"/>
                <w:lang w:eastAsia="hr-HR"/>
              </w:rPr>
              <w:t xml:space="preserve"> HPI-T 1000 W; C-LUCE</w:t>
            </w:r>
          </w:p>
        </w:tc>
        <w:tc>
          <w:tcPr>
            <w:tcW w:w="2301" w:type="dxa"/>
            <w:vMerge w:val="restart"/>
            <w:tcBorders>
              <w:top w:val="nil"/>
              <w:left w:val="nil"/>
              <w:bottom w:val="single" w:sz="4" w:space="0" w:color="000000"/>
              <w:right w:val="single" w:sz="4" w:space="0" w:color="000000"/>
            </w:tcBorders>
            <w:shd w:val="clear" w:color="auto" w:fill="auto"/>
            <w:noWrap/>
            <w:vAlign w:val="bottom"/>
            <w:hideMark/>
          </w:tcPr>
          <w:p w:rsidR="00366B80" w:rsidRPr="00715E7B"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76672" behindDoc="0" locked="0" layoutInCell="1" allowOverlap="1">
                  <wp:simplePos x="0" y="0"/>
                  <wp:positionH relativeFrom="column">
                    <wp:posOffset>339090</wp:posOffset>
                  </wp:positionH>
                  <wp:positionV relativeFrom="paragraph">
                    <wp:posOffset>48895</wp:posOffset>
                  </wp:positionV>
                  <wp:extent cx="790575" cy="664845"/>
                  <wp:effectExtent l="0" t="0" r="0" b="1905"/>
                  <wp:wrapNone/>
                  <wp:docPr id="14" name="Picture 14"/>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1" cstate="print"/>
                          <a:srcRect/>
                          <a:stretch>
                            <a:fillRect/>
                          </a:stretch>
                        </pic:blipFill>
                        <pic:spPr bwMode="auto">
                          <a:xfrm>
                            <a:off x="0" y="0"/>
                            <a:ext cx="782553" cy="72690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366B80" w:rsidRPr="00715E7B" w:rsidTr="00055582">
              <w:trPr>
                <w:trHeight w:val="270"/>
                <w:tblCellSpacing w:w="0" w:type="dxa"/>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w:t>
                  </w:r>
                </w:p>
              </w:tc>
            </w:tr>
            <w:tr w:rsidR="00366B80" w:rsidRPr="00715E7B" w:rsidTr="00055582">
              <w:trPr>
                <w:trHeight w:val="27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r>
          </w:tbl>
          <w:p w:rsidR="00366B80" w:rsidRPr="00715E7B" w:rsidRDefault="00366B80" w:rsidP="00055582">
            <w:pPr>
              <w:rPr>
                <w:rFonts w:ascii="Calibri" w:hAnsi="Calibri"/>
                <w:color w:val="000000"/>
                <w:sz w:val="22"/>
                <w:szCs w:val="22"/>
                <w:lang w:eastAsia="hr-H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NE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NE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3.</w:t>
            </w:r>
          </w:p>
        </w:tc>
        <w:tc>
          <w:tcPr>
            <w:tcW w:w="26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xml:space="preserve">CROSS AS                      </w:t>
            </w:r>
            <w:r>
              <w:rPr>
                <w:rFonts w:ascii="Calibri" w:hAnsi="Calibri"/>
                <w:color w:val="000000"/>
                <w:sz w:val="22"/>
                <w:szCs w:val="22"/>
                <w:lang w:eastAsia="hr-HR"/>
              </w:rPr>
              <w:t xml:space="preserve">      </w:t>
            </w:r>
            <w:r w:rsidRPr="00715E7B">
              <w:rPr>
                <w:rFonts w:ascii="Calibri" w:hAnsi="Calibri"/>
                <w:color w:val="000000"/>
                <w:sz w:val="22"/>
                <w:szCs w:val="22"/>
                <w:lang w:eastAsia="hr-HR"/>
              </w:rPr>
              <w:t xml:space="preserve"> HPI-T 400 W; C-LUCE</w:t>
            </w:r>
          </w:p>
        </w:tc>
        <w:tc>
          <w:tcPr>
            <w:tcW w:w="2301" w:type="dxa"/>
            <w:vMerge w:val="restart"/>
            <w:tcBorders>
              <w:top w:val="nil"/>
              <w:left w:val="nil"/>
              <w:bottom w:val="single" w:sz="4" w:space="0" w:color="000000"/>
              <w:right w:val="single" w:sz="4" w:space="0" w:color="000000"/>
            </w:tcBorders>
            <w:shd w:val="clear" w:color="auto" w:fill="auto"/>
            <w:noWrap/>
            <w:vAlign w:val="bottom"/>
            <w:hideMark/>
          </w:tcPr>
          <w:p w:rsidR="00366B80" w:rsidRPr="00715E7B"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75648" behindDoc="0" locked="0" layoutInCell="1" allowOverlap="1">
                  <wp:simplePos x="0" y="0"/>
                  <wp:positionH relativeFrom="column">
                    <wp:posOffset>190500</wp:posOffset>
                  </wp:positionH>
                  <wp:positionV relativeFrom="paragraph">
                    <wp:posOffset>19050</wp:posOffset>
                  </wp:positionV>
                  <wp:extent cx="723900" cy="7239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6"/>
                          <pic:cNvPicPr/>
                        </pic:nvPicPr>
                        <pic:blipFill>
                          <a:blip r:embed="rId10" cstate="print"/>
                          <a:srcRect/>
                          <a:stretch>
                            <a:fillRect/>
                          </a:stretch>
                        </pic:blipFill>
                        <pic:spPr bwMode="auto">
                          <a:xfrm>
                            <a:off x="0" y="0"/>
                            <a:ext cx="707362" cy="7118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366B80" w:rsidRPr="00715E7B" w:rsidTr="00055582">
              <w:trPr>
                <w:trHeight w:val="270"/>
                <w:tblCellSpacing w:w="0" w:type="dxa"/>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w:t>
                  </w:r>
                </w:p>
              </w:tc>
            </w:tr>
            <w:tr w:rsidR="00366B80" w:rsidRPr="00715E7B" w:rsidTr="00055582">
              <w:trPr>
                <w:trHeight w:val="27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r>
          </w:tbl>
          <w:p w:rsidR="00366B80" w:rsidRPr="00715E7B" w:rsidRDefault="00366B80" w:rsidP="00055582">
            <w:pPr>
              <w:rPr>
                <w:rFonts w:ascii="Calibri" w:hAnsi="Calibri"/>
                <w:color w:val="000000"/>
                <w:sz w:val="22"/>
                <w:szCs w:val="22"/>
                <w:lang w:eastAsia="hr-H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lastRenderedPageBreak/>
              <w:t>NE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NE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nil"/>
              <w:left w:val="single" w:sz="4" w:space="0" w:color="auto"/>
              <w:bottom w:val="single" w:sz="4" w:space="0" w:color="auto"/>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4.</w:t>
            </w:r>
          </w:p>
        </w:tc>
        <w:tc>
          <w:tcPr>
            <w:tcW w:w="26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xml:space="preserve">MVP 507                        </w:t>
            </w:r>
            <w:r>
              <w:rPr>
                <w:rFonts w:ascii="Calibri" w:hAnsi="Calibri"/>
                <w:color w:val="000000"/>
                <w:sz w:val="22"/>
                <w:szCs w:val="22"/>
                <w:lang w:eastAsia="hr-HR"/>
              </w:rPr>
              <w:t xml:space="preserve">  </w:t>
            </w:r>
            <w:r w:rsidRPr="00715E7B">
              <w:rPr>
                <w:rFonts w:ascii="Calibri" w:hAnsi="Calibri"/>
                <w:color w:val="000000"/>
                <w:sz w:val="22"/>
                <w:szCs w:val="22"/>
                <w:lang w:eastAsia="hr-HR"/>
              </w:rPr>
              <w:t>HPI-T 1000 W; PHILIPS</w:t>
            </w:r>
          </w:p>
        </w:tc>
        <w:tc>
          <w:tcPr>
            <w:tcW w:w="2301" w:type="dxa"/>
            <w:vMerge w:val="restart"/>
            <w:tcBorders>
              <w:top w:val="nil"/>
              <w:left w:val="nil"/>
              <w:bottom w:val="single" w:sz="4" w:space="0" w:color="000000"/>
              <w:right w:val="single" w:sz="4" w:space="0" w:color="000000"/>
            </w:tcBorders>
            <w:shd w:val="clear" w:color="auto" w:fill="auto"/>
            <w:noWrap/>
            <w:vAlign w:val="bottom"/>
            <w:hideMark/>
          </w:tcPr>
          <w:p w:rsidR="00366B80" w:rsidRPr="00715E7B"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73600" behindDoc="0" locked="0" layoutInCell="1" allowOverlap="1">
                  <wp:simplePos x="0" y="0"/>
                  <wp:positionH relativeFrom="column">
                    <wp:posOffset>69850</wp:posOffset>
                  </wp:positionH>
                  <wp:positionV relativeFrom="paragraph">
                    <wp:posOffset>1905</wp:posOffset>
                  </wp:positionV>
                  <wp:extent cx="1028700" cy="7239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4"/>
                          <pic:cNvPicPr/>
                        </pic:nvPicPr>
                        <pic:blipFill>
                          <a:blip r:embed="rId12" cstate="print"/>
                          <a:srcRect/>
                          <a:stretch>
                            <a:fillRect/>
                          </a:stretch>
                        </pic:blipFill>
                        <pic:spPr bwMode="auto">
                          <a:xfrm>
                            <a:off x="0" y="0"/>
                            <a:ext cx="1013159" cy="721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366B80" w:rsidRPr="00715E7B" w:rsidTr="00055582">
              <w:trPr>
                <w:trHeight w:val="270"/>
                <w:tblCellSpacing w:w="0" w:type="dxa"/>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w:t>
                  </w:r>
                </w:p>
              </w:tc>
            </w:tr>
            <w:tr w:rsidR="00366B80" w:rsidRPr="00715E7B" w:rsidTr="00055582">
              <w:trPr>
                <w:trHeight w:val="27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r>
          </w:tbl>
          <w:p w:rsidR="00366B80" w:rsidRPr="00715E7B" w:rsidRDefault="00366B80" w:rsidP="00055582">
            <w:pPr>
              <w:rPr>
                <w:rFonts w:ascii="Calibri" w:hAnsi="Calibri"/>
                <w:color w:val="000000"/>
                <w:sz w:val="22"/>
                <w:szCs w:val="22"/>
                <w:lang w:eastAsia="hr-H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5.</w:t>
            </w:r>
          </w:p>
        </w:tc>
        <w:tc>
          <w:tcPr>
            <w:tcW w:w="26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xml:space="preserve">MVP 506                        </w:t>
            </w:r>
            <w:r>
              <w:rPr>
                <w:rFonts w:ascii="Calibri" w:hAnsi="Calibri"/>
                <w:color w:val="000000"/>
                <w:sz w:val="22"/>
                <w:szCs w:val="22"/>
                <w:lang w:eastAsia="hr-HR"/>
              </w:rPr>
              <w:t xml:space="preserve">   </w:t>
            </w:r>
            <w:r w:rsidRPr="00715E7B">
              <w:rPr>
                <w:rFonts w:ascii="Calibri" w:hAnsi="Calibri"/>
                <w:color w:val="000000"/>
                <w:sz w:val="22"/>
                <w:szCs w:val="22"/>
                <w:lang w:eastAsia="hr-HR"/>
              </w:rPr>
              <w:t>HPI-T 400 W; PHILIPS</w:t>
            </w:r>
          </w:p>
        </w:tc>
        <w:tc>
          <w:tcPr>
            <w:tcW w:w="2301" w:type="dxa"/>
            <w:vMerge w:val="restart"/>
            <w:tcBorders>
              <w:top w:val="single" w:sz="4" w:space="0" w:color="auto"/>
              <w:left w:val="nil"/>
              <w:bottom w:val="single" w:sz="4" w:space="0" w:color="000000"/>
              <w:right w:val="single" w:sz="4" w:space="0" w:color="000000"/>
            </w:tcBorders>
            <w:shd w:val="clear" w:color="auto" w:fill="auto"/>
            <w:noWrap/>
            <w:vAlign w:val="bottom"/>
            <w:hideMark/>
          </w:tcPr>
          <w:p w:rsidR="00366B80" w:rsidRPr="00715E7B" w:rsidRDefault="00366B80" w:rsidP="00055582">
            <w:pPr>
              <w:rPr>
                <w:rFonts w:ascii="Calibri" w:hAnsi="Calibri"/>
                <w:color w:val="000000"/>
                <w:sz w:val="22"/>
                <w:szCs w:val="22"/>
                <w:lang w:eastAsia="hr-HR"/>
              </w:rPr>
            </w:pPr>
            <w:r>
              <w:rPr>
                <w:rFonts w:ascii="Calibri" w:hAnsi="Calibri"/>
                <w:noProof/>
                <w:color w:val="000000"/>
                <w:sz w:val="22"/>
                <w:szCs w:val="22"/>
                <w:lang w:eastAsia="hr-HR"/>
              </w:rPr>
              <w:drawing>
                <wp:anchor distT="0" distB="0" distL="114300" distR="114300" simplePos="0" relativeHeight="251674624" behindDoc="0" locked="0" layoutInCell="1" allowOverlap="1">
                  <wp:simplePos x="0" y="0"/>
                  <wp:positionH relativeFrom="column">
                    <wp:posOffset>29210</wp:posOffset>
                  </wp:positionH>
                  <wp:positionV relativeFrom="paragraph">
                    <wp:posOffset>51435</wp:posOffset>
                  </wp:positionV>
                  <wp:extent cx="1085850" cy="66675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3" cstate="print"/>
                          <a:srcRect/>
                          <a:stretch>
                            <a:fillRect/>
                          </a:stretch>
                        </pic:blipFill>
                        <pic:spPr bwMode="auto">
                          <a:xfrm>
                            <a:off x="0" y="0"/>
                            <a:ext cx="1068304" cy="6416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366B80" w:rsidRPr="00715E7B" w:rsidTr="00055582">
              <w:trPr>
                <w:trHeight w:val="270"/>
                <w:tblCellSpacing w:w="0" w:type="dxa"/>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 </w:t>
                  </w:r>
                </w:p>
              </w:tc>
            </w:tr>
            <w:tr w:rsidR="00366B80" w:rsidRPr="00715E7B" w:rsidTr="00055582">
              <w:trPr>
                <w:trHeight w:val="27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r>
          </w:tbl>
          <w:p w:rsidR="00366B80" w:rsidRPr="00715E7B" w:rsidRDefault="00366B80" w:rsidP="00055582">
            <w:pPr>
              <w:rPr>
                <w:rFonts w:ascii="Calibri" w:hAnsi="Calibri"/>
                <w:color w:val="000000"/>
                <w:sz w:val="22"/>
                <w:szCs w:val="22"/>
                <w:lang w:eastAsia="hr-H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B80" w:rsidRPr="00715E7B" w:rsidRDefault="00366B80" w:rsidP="00055582">
            <w:pPr>
              <w:jc w:val="center"/>
              <w:rPr>
                <w:rFonts w:ascii="Calibri" w:hAnsi="Calibri"/>
                <w:color w:val="000000"/>
                <w:sz w:val="22"/>
                <w:szCs w:val="22"/>
                <w:lang w:eastAsia="hr-HR"/>
              </w:rPr>
            </w:pPr>
            <w:r w:rsidRPr="00715E7B">
              <w:rPr>
                <w:rFonts w:ascii="Calibri" w:hAnsi="Calibri"/>
                <w:color w:val="000000"/>
                <w:sz w:val="22"/>
                <w:szCs w:val="22"/>
                <w:lang w:eastAsia="hr-HR"/>
              </w:rPr>
              <w:t>DA</w:t>
            </w: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r w:rsidR="00366B80" w:rsidRPr="00715E7B" w:rsidTr="00055582">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lang w:eastAsia="hr-HR"/>
              </w:rPr>
            </w:pPr>
          </w:p>
        </w:tc>
        <w:tc>
          <w:tcPr>
            <w:tcW w:w="2666" w:type="dxa"/>
            <w:vMerge/>
            <w:tcBorders>
              <w:top w:val="single" w:sz="4" w:space="0" w:color="auto"/>
              <w:left w:val="single" w:sz="4" w:space="0" w:color="auto"/>
              <w:bottom w:val="single" w:sz="4" w:space="0" w:color="000000"/>
              <w:right w:val="single" w:sz="4" w:space="0" w:color="000000"/>
            </w:tcBorders>
            <w:vAlign w:val="center"/>
            <w:hideMark/>
          </w:tcPr>
          <w:p w:rsidR="00366B80" w:rsidRPr="00715E7B" w:rsidRDefault="00366B80" w:rsidP="00055582">
            <w:pPr>
              <w:rPr>
                <w:rFonts w:ascii="Calibri" w:hAnsi="Calibri"/>
                <w:color w:val="000000"/>
                <w:lang w:eastAsia="hr-HR"/>
              </w:rPr>
            </w:pPr>
          </w:p>
        </w:tc>
        <w:tc>
          <w:tcPr>
            <w:tcW w:w="2301" w:type="dxa"/>
            <w:vMerge/>
            <w:tcBorders>
              <w:top w:val="nil"/>
              <w:left w:val="nil"/>
              <w:bottom w:val="single" w:sz="4" w:space="0" w:color="000000"/>
              <w:right w:val="single" w:sz="4" w:space="0" w:color="000000"/>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8"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36"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66B80" w:rsidRPr="00715E7B" w:rsidRDefault="00366B80" w:rsidP="00055582">
            <w:pPr>
              <w:rPr>
                <w:rFonts w:ascii="Calibri" w:hAnsi="Calibri"/>
                <w:color w:val="000000"/>
                <w:sz w:val="22"/>
                <w:szCs w:val="22"/>
                <w:lang w:eastAsia="hr-HR"/>
              </w:rPr>
            </w:pPr>
          </w:p>
        </w:tc>
      </w:tr>
    </w:tbl>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Pr="00CB7865" w:rsidRDefault="00366B80" w:rsidP="00366B80">
      <w:pPr>
        <w:tabs>
          <w:tab w:val="left" w:pos="1134"/>
        </w:tabs>
        <w:ind w:left="-142" w:right="-947"/>
        <w:rPr>
          <w:rFonts w:ascii="Arial" w:hAnsi="Arial"/>
          <w:sz w:val="22"/>
          <w:szCs w:val="22"/>
        </w:rPr>
      </w:pPr>
      <w:r>
        <w:rPr>
          <w:rFonts w:ascii="Arial" w:hAnsi="Arial"/>
          <w:sz w:val="22"/>
          <w:szCs w:val="22"/>
        </w:rPr>
        <w:t>2.1.3.</w:t>
      </w:r>
      <w:r>
        <w:rPr>
          <w:rFonts w:ascii="Arial" w:hAnsi="Arial"/>
          <w:sz w:val="22"/>
          <w:szCs w:val="22"/>
        </w:rPr>
        <w:tab/>
        <w:t>Opis projektiranog rješenja rekonstrukcije vanjske rasvjete</w:t>
      </w:r>
    </w:p>
    <w:p w:rsidR="00366B80" w:rsidRDefault="00366B80" w:rsidP="00366B80">
      <w:pPr>
        <w:ind w:left="-142"/>
        <w:jc w:val="both"/>
        <w:rPr>
          <w:rFonts w:ascii="Arial" w:hAnsi="Arial"/>
          <w:sz w:val="22"/>
          <w:szCs w:val="22"/>
        </w:rPr>
      </w:pPr>
    </w:p>
    <w:p w:rsidR="00366B80" w:rsidRPr="00E43C33" w:rsidRDefault="00366B80" w:rsidP="00366B80">
      <w:pPr>
        <w:ind w:left="-142"/>
        <w:jc w:val="both"/>
        <w:rPr>
          <w:rFonts w:ascii="Arial" w:hAnsi="Arial"/>
          <w:sz w:val="22"/>
          <w:szCs w:val="22"/>
        </w:rPr>
      </w:pPr>
      <w:r w:rsidRPr="00E43C33">
        <w:rPr>
          <w:rFonts w:ascii="Arial" w:hAnsi="Arial"/>
          <w:sz w:val="22"/>
          <w:szCs w:val="22"/>
        </w:rPr>
        <w:t xml:space="preserve">Kako bi se postigao viši stupanj energetske učinkovitosti predmetnog sustava </w:t>
      </w:r>
      <w:r>
        <w:rPr>
          <w:rFonts w:ascii="Arial" w:hAnsi="Arial"/>
          <w:sz w:val="22"/>
          <w:szCs w:val="22"/>
        </w:rPr>
        <w:t>vanjske</w:t>
      </w:r>
      <w:r w:rsidRPr="00E43C33">
        <w:rPr>
          <w:rFonts w:ascii="Arial" w:hAnsi="Arial"/>
          <w:sz w:val="22"/>
          <w:szCs w:val="22"/>
        </w:rPr>
        <w:t xml:space="preserve"> rasvjete</w:t>
      </w:r>
      <w:r>
        <w:rPr>
          <w:rFonts w:ascii="Arial" w:hAnsi="Arial"/>
          <w:sz w:val="22"/>
          <w:szCs w:val="22"/>
        </w:rPr>
        <w:t xml:space="preserve"> </w:t>
      </w:r>
      <w:r w:rsidRPr="00E43C33">
        <w:rPr>
          <w:rFonts w:ascii="Arial" w:hAnsi="Arial"/>
          <w:sz w:val="22"/>
          <w:szCs w:val="22"/>
        </w:rPr>
        <w:t>potrebno je zamijeniti postojeće neučinkovite svjetiljke</w:t>
      </w:r>
      <w:r>
        <w:rPr>
          <w:rFonts w:ascii="Arial" w:hAnsi="Arial"/>
          <w:sz w:val="22"/>
          <w:szCs w:val="22"/>
        </w:rPr>
        <w:t xml:space="preserve"> i reflektore s učinkovitijim izvorima </w:t>
      </w:r>
      <w:proofErr w:type="spellStart"/>
      <w:r>
        <w:rPr>
          <w:rFonts w:ascii="Arial" w:hAnsi="Arial"/>
          <w:sz w:val="22"/>
          <w:szCs w:val="22"/>
        </w:rPr>
        <w:t>svetlosti</w:t>
      </w:r>
      <w:proofErr w:type="spellEnd"/>
      <w:r>
        <w:rPr>
          <w:rFonts w:ascii="Arial" w:hAnsi="Arial"/>
          <w:sz w:val="22"/>
          <w:szCs w:val="22"/>
        </w:rPr>
        <w:t xml:space="preserve"> i uvesti upravljanje s </w:t>
      </w:r>
      <w:proofErr w:type="spellStart"/>
      <w:r>
        <w:rPr>
          <w:rFonts w:ascii="Arial" w:hAnsi="Arial"/>
          <w:sz w:val="22"/>
          <w:szCs w:val="22"/>
        </w:rPr>
        <w:t>mogučnošću</w:t>
      </w:r>
      <w:proofErr w:type="spellEnd"/>
      <w:r>
        <w:rPr>
          <w:rFonts w:ascii="Arial" w:hAnsi="Arial"/>
          <w:sz w:val="22"/>
          <w:szCs w:val="22"/>
        </w:rPr>
        <w:t xml:space="preserve"> redukcije nivoa </w:t>
      </w:r>
      <w:proofErr w:type="spellStart"/>
      <w:r>
        <w:rPr>
          <w:rFonts w:ascii="Arial" w:hAnsi="Arial"/>
          <w:sz w:val="22"/>
          <w:szCs w:val="22"/>
        </w:rPr>
        <w:t>rasvjetljenosti</w:t>
      </w:r>
      <w:proofErr w:type="spellEnd"/>
      <w:r>
        <w:rPr>
          <w:rFonts w:ascii="Arial" w:hAnsi="Arial"/>
          <w:sz w:val="22"/>
          <w:szCs w:val="22"/>
        </w:rPr>
        <w:t xml:space="preserve"> u kasnim noćnim satima automatski ili prema potrebi. Time bi se postigle značajne uštede u potrošnji električne energije</w:t>
      </w:r>
      <w:r w:rsidRPr="00E43C33">
        <w:rPr>
          <w:rFonts w:ascii="Arial" w:hAnsi="Arial"/>
          <w:sz w:val="22"/>
          <w:szCs w:val="22"/>
        </w:rPr>
        <w:t xml:space="preserve">. Kod odabira zamjenskih svjetiljki </w:t>
      </w:r>
      <w:r>
        <w:rPr>
          <w:rFonts w:ascii="Arial" w:hAnsi="Arial"/>
          <w:sz w:val="22"/>
          <w:szCs w:val="22"/>
        </w:rPr>
        <w:t xml:space="preserve">i reflektora </w:t>
      </w:r>
      <w:r w:rsidRPr="00E43C33">
        <w:rPr>
          <w:rFonts w:ascii="Arial" w:hAnsi="Arial"/>
          <w:sz w:val="22"/>
          <w:szCs w:val="22"/>
        </w:rPr>
        <w:t>pored</w:t>
      </w:r>
      <w:r>
        <w:rPr>
          <w:rFonts w:ascii="Arial" w:hAnsi="Arial"/>
          <w:sz w:val="22"/>
          <w:szCs w:val="22"/>
        </w:rPr>
        <w:t xml:space="preserve"> </w:t>
      </w:r>
      <w:r w:rsidRPr="00E43C33">
        <w:rPr>
          <w:rFonts w:ascii="Arial" w:hAnsi="Arial"/>
          <w:sz w:val="22"/>
          <w:szCs w:val="22"/>
        </w:rPr>
        <w:t>energetskih potrebno je zadovoljiti i ekološke kriterije, kako bi se postiglo sveobuhvatno rješenje</w:t>
      </w:r>
      <w:r>
        <w:rPr>
          <w:rFonts w:ascii="Arial" w:hAnsi="Arial"/>
          <w:sz w:val="22"/>
          <w:szCs w:val="22"/>
        </w:rPr>
        <w:t xml:space="preserve"> </w:t>
      </w:r>
      <w:r w:rsidRPr="00E43C33">
        <w:rPr>
          <w:rFonts w:ascii="Arial" w:hAnsi="Arial"/>
          <w:sz w:val="22"/>
          <w:szCs w:val="22"/>
        </w:rPr>
        <w:t xml:space="preserve">sustava </w:t>
      </w:r>
      <w:r>
        <w:rPr>
          <w:rFonts w:ascii="Arial" w:hAnsi="Arial"/>
          <w:sz w:val="22"/>
          <w:szCs w:val="22"/>
        </w:rPr>
        <w:t>vanjske</w:t>
      </w:r>
      <w:r w:rsidRPr="00E43C33">
        <w:rPr>
          <w:rFonts w:ascii="Arial" w:hAnsi="Arial"/>
          <w:sz w:val="22"/>
          <w:szCs w:val="22"/>
        </w:rPr>
        <w:t xml:space="preserve"> rasvjete.</w:t>
      </w:r>
    </w:p>
    <w:p w:rsidR="00366B80" w:rsidRPr="00E43C33" w:rsidRDefault="00366B80" w:rsidP="00366B80">
      <w:pPr>
        <w:ind w:left="-142"/>
        <w:jc w:val="both"/>
        <w:rPr>
          <w:rFonts w:ascii="Arial" w:hAnsi="Arial"/>
          <w:sz w:val="22"/>
          <w:szCs w:val="22"/>
        </w:rPr>
      </w:pPr>
      <w:r w:rsidRPr="00E43C33">
        <w:rPr>
          <w:rFonts w:ascii="Arial" w:hAnsi="Arial"/>
          <w:sz w:val="22"/>
          <w:szCs w:val="22"/>
        </w:rPr>
        <w:t>Postojeće neučinkovite svjetiljke</w:t>
      </w:r>
      <w:r>
        <w:rPr>
          <w:rFonts w:ascii="Arial" w:hAnsi="Arial"/>
          <w:sz w:val="22"/>
          <w:szCs w:val="22"/>
        </w:rPr>
        <w:t xml:space="preserve"> i reflektori</w:t>
      </w:r>
      <w:r w:rsidRPr="00E43C33">
        <w:rPr>
          <w:rFonts w:ascii="Arial" w:hAnsi="Arial"/>
          <w:sz w:val="22"/>
          <w:szCs w:val="22"/>
        </w:rPr>
        <w:t xml:space="preserve"> zamijenit</w:t>
      </w:r>
      <w:r>
        <w:rPr>
          <w:rFonts w:ascii="Arial" w:hAnsi="Arial"/>
          <w:sz w:val="22"/>
          <w:szCs w:val="22"/>
        </w:rPr>
        <w:t>i</w:t>
      </w:r>
      <w:r w:rsidRPr="00E43C33">
        <w:rPr>
          <w:rFonts w:ascii="Arial" w:hAnsi="Arial"/>
          <w:sz w:val="22"/>
          <w:szCs w:val="22"/>
        </w:rPr>
        <w:t xml:space="preserve"> će se </w:t>
      </w:r>
      <w:r>
        <w:rPr>
          <w:rFonts w:ascii="Arial" w:hAnsi="Arial"/>
          <w:sz w:val="22"/>
          <w:szCs w:val="22"/>
        </w:rPr>
        <w:t xml:space="preserve"> sa reflektorima i </w:t>
      </w:r>
      <w:proofErr w:type="spellStart"/>
      <w:r>
        <w:rPr>
          <w:rFonts w:ascii="Arial" w:hAnsi="Arial"/>
          <w:sz w:val="22"/>
          <w:szCs w:val="22"/>
        </w:rPr>
        <w:t>svjetilkama</w:t>
      </w:r>
      <w:proofErr w:type="spellEnd"/>
      <w:r>
        <w:rPr>
          <w:rFonts w:ascii="Arial" w:hAnsi="Arial"/>
          <w:sz w:val="22"/>
          <w:szCs w:val="22"/>
        </w:rPr>
        <w:t xml:space="preserve"> s  visokoučinkovitim </w:t>
      </w:r>
      <w:r w:rsidRPr="00E43C33">
        <w:rPr>
          <w:rFonts w:ascii="Arial" w:hAnsi="Arial"/>
          <w:sz w:val="22"/>
          <w:szCs w:val="22"/>
        </w:rPr>
        <w:t>LED</w:t>
      </w:r>
      <w:r>
        <w:rPr>
          <w:rFonts w:ascii="Arial" w:hAnsi="Arial"/>
          <w:sz w:val="22"/>
          <w:szCs w:val="22"/>
        </w:rPr>
        <w:t xml:space="preserve"> izvorima</w:t>
      </w:r>
      <w:r w:rsidRPr="00E43C33">
        <w:rPr>
          <w:rFonts w:ascii="Arial" w:hAnsi="Arial"/>
          <w:sz w:val="22"/>
          <w:szCs w:val="22"/>
        </w:rPr>
        <w:t xml:space="preserve"> svjet</w:t>
      </w:r>
      <w:r>
        <w:rPr>
          <w:rFonts w:ascii="Arial" w:hAnsi="Arial"/>
          <w:sz w:val="22"/>
          <w:szCs w:val="22"/>
        </w:rPr>
        <w:t xml:space="preserve">la, armaturama </w:t>
      </w:r>
      <w:r w:rsidRPr="00E43C33">
        <w:rPr>
          <w:rFonts w:ascii="Arial" w:hAnsi="Arial"/>
          <w:sz w:val="22"/>
          <w:szCs w:val="22"/>
        </w:rPr>
        <w:t>s</w:t>
      </w:r>
      <w:r>
        <w:rPr>
          <w:rFonts w:ascii="Arial" w:hAnsi="Arial"/>
          <w:sz w:val="22"/>
          <w:szCs w:val="22"/>
        </w:rPr>
        <w:t xml:space="preserve"> </w:t>
      </w:r>
      <w:r w:rsidRPr="00E43C33">
        <w:rPr>
          <w:rFonts w:ascii="Arial" w:hAnsi="Arial"/>
          <w:sz w:val="22"/>
          <w:szCs w:val="22"/>
        </w:rPr>
        <w:t xml:space="preserve">kvalitetnom optikom i </w:t>
      </w:r>
      <w:proofErr w:type="spellStart"/>
      <w:r>
        <w:rPr>
          <w:rFonts w:ascii="Arial" w:hAnsi="Arial"/>
          <w:sz w:val="22"/>
          <w:szCs w:val="22"/>
        </w:rPr>
        <w:t>predspojnim</w:t>
      </w:r>
      <w:proofErr w:type="spellEnd"/>
      <w:r>
        <w:rPr>
          <w:rFonts w:ascii="Arial" w:hAnsi="Arial"/>
          <w:sz w:val="22"/>
          <w:szCs w:val="22"/>
        </w:rPr>
        <w:t xml:space="preserve"> uređajima s </w:t>
      </w:r>
      <w:r w:rsidRPr="00E43C33">
        <w:rPr>
          <w:rFonts w:ascii="Arial" w:hAnsi="Arial"/>
          <w:sz w:val="22"/>
          <w:szCs w:val="22"/>
        </w:rPr>
        <w:t xml:space="preserve">višim stupnjem energetske </w:t>
      </w:r>
      <w:r>
        <w:rPr>
          <w:rFonts w:ascii="Arial" w:hAnsi="Arial"/>
          <w:sz w:val="22"/>
          <w:szCs w:val="22"/>
        </w:rPr>
        <w:t>učinkovit</w:t>
      </w:r>
      <w:r w:rsidRPr="00E43C33">
        <w:rPr>
          <w:rFonts w:ascii="Arial" w:hAnsi="Arial"/>
          <w:sz w:val="22"/>
          <w:szCs w:val="22"/>
        </w:rPr>
        <w:t xml:space="preserve">osti. Za razliku od postojećih svjetiljki </w:t>
      </w:r>
      <w:r>
        <w:rPr>
          <w:rFonts w:ascii="Arial" w:hAnsi="Arial"/>
          <w:sz w:val="22"/>
          <w:szCs w:val="22"/>
        </w:rPr>
        <w:t>i reflektora nove zamjenske svjetiljke i reflektori trebaju za</w:t>
      </w:r>
      <w:r w:rsidRPr="00E43C33">
        <w:rPr>
          <w:rFonts w:ascii="Arial" w:hAnsi="Arial"/>
          <w:sz w:val="22"/>
          <w:szCs w:val="22"/>
        </w:rPr>
        <w:t>dovolj</w:t>
      </w:r>
      <w:r>
        <w:rPr>
          <w:rFonts w:ascii="Arial" w:hAnsi="Arial"/>
          <w:sz w:val="22"/>
          <w:szCs w:val="22"/>
        </w:rPr>
        <w:t xml:space="preserve">iti </w:t>
      </w:r>
      <w:proofErr w:type="spellStart"/>
      <w:r>
        <w:rPr>
          <w:rFonts w:ascii="Arial" w:hAnsi="Arial"/>
          <w:sz w:val="22"/>
          <w:szCs w:val="22"/>
        </w:rPr>
        <w:t>svjetlotehničke</w:t>
      </w:r>
      <w:proofErr w:type="spellEnd"/>
      <w:r>
        <w:rPr>
          <w:rFonts w:ascii="Arial" w:hAnsi="Arial"/>
          <w:sz w:val="22"/>
          <w:szCs w:val="22"/>
        </w:rPr>
        <w:t xml:space="preserve"> parametre za rasvjetu vanjskih otvorenih posebno kontroliranih (ograđenih) i neograđenih otvorenih prostora važećih za radna mjesta otvorenih površina luka i to normu HRN EN 12464-2:2014 (E), kao</w:t>
      </w:r>
      <w:r w:rsidRPr="00E43C33">
        <w:rPr>
          <w:rFonts w:ascii="Arial" w:hAnsi="Arial"/>
          <w:sz w:val="22"/>
          <w:szCs w:val="22"/>
        </w:rPr>
        <w:t xml:space="preserve"> i ekološke zahtjeve zaštite od svjetlosnog onečišćenja. Pozitivni efekti ugradnje novih</w:t>
      </w:r>
      <w:r>
        <w:rPr>
          <w:rFonts w:ascii="Arial" w:hAnsi="Arial"/>
          <w:sz w:val="22"/>
          <w:szCs w:val="22"/>
        </w:rPr>
        <w:t xml:space="preserve"> </w:t>
      </w:r>
      <w:r w:rsidRPr="00E43C33">
        <w:rPr>
          <w:rFonts w:ascii="Arial" w:hAnsi="Arial"/>
          <w:sz w:val="22"/>
          <w:szCs w:val="22"/>
        </w:rPr>
        <w:t xml:space="preserve">zamjenskih svjetiljki </w:t>
      </w:r>
      <w:r>
        <w:rPr>
          <w:rFonts w:ascii="Arial" w:hAnsi="Arial"/>
          <w:sz w:val="22"/>
          <w:szCs w:val="22"/>
        </w:rPr>
        <w:t xml:space="preserve">i reflektora </w:t>
      </w:r>
      <w:r w:rsidRPr="00E43C33">
        <w:rPr>
          <w:rFonts w:ascii="Arial" w:hAnsi="Arial"/>
          <w:sz w:val="22"/>
          <w:szCs w:val="22"/>
        </w:rPr>
        <w:t xml:space="preserve">očituju se kroz postizanje propisanih </w:t>
      </w:r>
      <w:proofErr w:type="spellStart"/>
      <w:r w:rsidRPr="00E43C33">
        <w:rPr>
          <w:rFonts w:ascii="Arial" w:hAnsi="Arial"/>
          <w:sz w:val="22"/>
          <w:szCs w:val="22"/>
        </w:rPr>
        <w:t>svjetlotehničkih</w:t>
      </w:r>
      <w:proofErr w:type="spellEnd"/>
      <w:r w:rsidRPr="00E43C33">
        <w:rPr>
          <w:rFonts w:ascii="Arial" w:hAnsi="Arial"/>
          <w:sz w:val="22"/>
          <w:szCs w:val="22"/>
        </w:rPr>
        <w:t xml:space="preserve"> parametara </w:t>
      </w:r>
      <w:r>
        <w:rPr>
          <w:rFonts w:ascii="Arial" w:hAnsi="Arial"/>
          <w:sz w:val="22"/>
          <w:szCs w:val="22"/>
        </w:rPr>
        <w:t xml:space="preserve">u skladu navedenih normi i smanjenjem potrošnje </w:t>
      </w:r>
      <w:r w:rsidRPr="00E43C33">
        <w:rPr>
          <w:rFonts w:ascii="Arial" w:hAnsi="Arial"/>
          <w:sz w:val="22"/>
          <w:szCs w:val="22"/>
        </w:rPr>
        <w:t>električne energije što za posljedicu ima i</w:t>
      </w:r>
      <w:r>
        <w:rPr>
          <w:rFonts w:ascii="Arial" w:hAnsi="Arial"/>
          <w:sz w:val="22"/>
          <w:szCs w:val="22"/>
        </w:rPr>
        <w:t xml:space="preserve"> </w:t>
      </w:r>
      <w:r w:rsidRPr="00E43C33">
        <w:rPr>
          <w:rFonts w:ascii="Arial" w:hAnsi="Arial"/>
          <w:sz w:val="22"/>
          <w:szCs w:val="22"/>
        </w:rPr>
        <w:t>smanjene emisije stakleničkih plinova</w:t>
      </w:r>
      <w:r>
        <w:rPr>
          <w:rFonts w:ascii="Arial" w:hAnsi="Arial"/>
          <w:sz w:val="22"/>
          <w:szCs w:val="22"/>
        </w:rPr>
        <w:t xml:space="preserve"> u atmosferu</w:t>
      </w:r>
      <w:r w:rsidRPr="00E43C33">
        <w:rPr>
          <w:rFonts w:ascii="Arial" w:hAnsi="Arial"/>
          <w:sz w:val="22"/>
          <w:szCs w:val="22"/>
        </w:rPr>
        <w:t>. Niža potrošnja smanjiti će troškove električne energije, nove</w:t>
      </w:r>
      <w:r>
        <w:rPr>
          <w:rFonts w:ascii="Arial" w:hAnsi="Arial"/>
          <w:sz w:val="22"/>
          <w:szCs w:val="22"/>
        </w:rPr>
        <w:t xml:space="preserve"> </w:t>
      </w:r>
      <w:r w:rsidRPr="00E43C33">
        <w:rPr>
          <w:rFonts w:ascii="Arial" w:hAnsi="Arial"/>
          <w:sz w:val="22"/>
          <w:szCs w:val="22"/>
        </w:rPr>
        <w:t xml:space="preserve">svjetiljke imati će manji broj kvarova, a imati će </w:t>
      </w:r>
      <w:r>
        <w:rPr>
          <w:rFonts w:ascii="Arial" w:hAnsi="Arial"/>
          <w:sz w:val="22"/>
          <w:szCs w:val="22"/>
        </w:rPr>
        <w:t xml:space="preserve">veću </w:t>
      </w:r>
      <w:r w:rsidRPr="00E43C33">
        <w:rPr>
          <w:rFonts w:ascii="Arial" w:hAnsi="Arial"/>
          <w:sz w:val="22"/>
          <w:szCs w:val="22"/>
        </w:rPr>
        <w:t xml:space="preserve">garanciju na kvarove te će se </w:t>
      </w:r>
      <w:r>
        <w:rPr>
          <w:rFonts w:ascii="Arial" w:hAnsi="Arial"/>
          <w:sz w:val="22"/>
          <w:szCs w:val="22"/>
        </w:rPr>
        <w:t xml:space="preserve">time </w:t>
      </w:r>
      <w:r w:rsidRPr="00E43C33">
        <w:rPr>
          <w:rFonts w:ascii="Arial" w:hAnsi="Arial"/>
          <w:sz w:val="22"/>
          <w:szCs w:val="22"/>
        </w:rPr>
        <w:t>smanjiti i troškovi održavanj</w:t>
      </w:r>
      <w:r>
        <w:rPr>
          <w:rFonts w:ascii="Arial" w:hAnsi="Arial"/>
          <w:sz w:val="22"/>
          <w:szCs w:val="22"/>
        </w:rPr>
        <w:t>a</w:t>
      </w:r>
      <w:r w:rsidRPr="00E43C33">
        <w:rPr>
          <w:rFonts w:ascii="Arial" w:hAnsi="Arial"/>
          <w:sz w:val="22"/>
          <w:szCs w:val="22"/>
        </w:rPr>
        <w:t>.</w:t>
      </w:r>
    </w:p>
    <w:p w:rsidR="00366B80" w:rsidRDefault="00366B80" w:rsidP="00366B80">
      <w:pPr>
        <w:ind w:left="-142"/>
        <w:jc w:val="both"/>
        <w:rPr>
          <w:rFonts w:ascii="Arial" w:hAnsi="Arial"/>
          <w:sz w:val="22"/>
          <w:szCs w:val="22"/>
        </w:rPr>
      </w:pPr>
      <w:r>
        <w:rPr>
          <w:rFonts w:ascii="Arial" w:hAnsi="Arial"/>
          <w:sz w:val="22"/>
          <w:szCs w:val="22"/>
        </w:rPr>
        <w:t xml:space="preserve">Jedan od temeljnih zahtjeva u rekonstrukciji vanjske rasvjete je zadržavanje svih rasvjetnih mjesta tj. postojećih stupova i nosivih konstrukcija,  uz zamjenu </w:t>
      </w:r>
      <w:proofErr w:type="spellStart"/>
      <w:r>
        <w:rPr>
          <w:rFonts w:ascii="Arial" w:hAnsi="Arial"/>
          <w:sz w:val="22"/>
          <w:szCs w:val="22"/>
        </w:rPr>
        <w:t>postoječih</w:t>
      </w:r>
      <w:proofErr w:type="spellEnd"/>
      <w:r>
        <w:rPr>
          <w:rFonts w:ascii="Arial" w:hAnsi="Arial"/>
          <w:sz w:val="22"/>
          <w:szCs w:val="22"/>
        </w:rPr>
        <w:t xml:space="preserve"> svjetiljki i reflektora, uz </w:t>
      </w:r>
      <w:proofErr w:type="spellStart"/>
      <w:r>
        <w:rPr>
          <w:rFonts w:ascii="Arial" w:hAnsi="Arial"/>
          <w:sz w:val="22"/>
          <w:szCs w:val="22"/>
        </w:rPr>
        <w:t>pricip</w:t>
      </w:r>
      <w:proofErr w:type="spellEnd"/>
      <w:r>
        <w:rPr>
          <w:rFonts w:ascii="Arial" w:hAnsi="Arial"/>
          <w:sz w:val="22"/>
          <w:szCs w:val="22"/>
        </w:rPr>
        <w:t xml:space="preserve"> maksimalno „1 staro za 1 novo“ i uz provjeru mogućnosti zadovoljenja svih potrebnih </w:t>
      </w:r>
      <w:proofErr w:type="spellStart"/>
      <w:r>
        <w:rPr>
          <w:rFonts w:ascii="Arial" w:hAnsi="Arial"/>
          <w:sz w:val="22"/>
          <w:szCs w:val="22"/>
        </w:rPr>
        <w:t>svjetlotehničkih</w:t>
      </w:r>
      <w:proofErr w:type="spellEnd"/>
      <w:r>
        <w:rPr>
          <w:rFonts w:ascii="Arial" w:hAnsi="Arial"/>
          <w:sz w:val="22"/>
          <w:szCs w:val="22"/>
        </w:rPr>
        <w:t xml:space="preserve"> parametara i eventualnog smanjenja broja reflektora na stupovima. Time se bitno smanjuju troškovi rekonstrukcije. Isto tako treba odabrati nova rasvjetna tijela s manjim površinama izloženim vjetru u odnosu na postojeća, kao i manje težine, kako se ne bi poremetila mehanička stabilnost. Potrebni radovi prilagodbe za montažu zamjenskih svjetiljki i reflektora na postojeće rasvjetne stupove opisati će se u stavkama troškovnika.</w:t>
      </w:r>
    </w:p>
    <w:p w:rsidR="00366B80" w:rsidRDefault="00366B80" w:rsidP="00366B80">
      <w:pPr>
        <w:ind w:left="-142"/>
        <w:jc w:val="both"/>
        <w:rPr>
          <w:rFonts w:ascii="Arial" w:hAnsi="Arial"/>
          <w:sz w:val="22"/>
          <w:szCs w:val="22"/>
        </w:rPr>
      </w:pPr>
      <w:r>
        <w:rPr>
          <w:rFonts w:ascii="Arial" w:hAnsi="Arial"/>
          <w:sz w:val="22"/>
          <w:szCs w:val="22"/>
        </w:rPr>
        <w:t xml:space="preserve">Projektirana rekonstruirana vanjska rasvjeta obuhvaća ukupno 122 rasvjetna tijela, od kojih je 35 kom LED svjetiljki i 87 kom LED reflektora. Predviđeno je da se prostor obale sjeveroistočno i sjeverozapadno od zgrade Lučka uprava (stara obala) i cjelokupna novoizgrađena operativna obala do </w:t>
      </w:r>
      <w:proofErr w:type="spellStart"/>
      <w:r>
        <w:rPr>
          <w:rFonts w:ascii="Arial" w:hAnsi="Arial"/>
          <w:sz w:val="22"/>
          <w:szCs w:val="22"/>
        </w:rPr>
        <w:t>Batahovine</w:t>
      </w:r>
      <w:proofErr w:type="spellEnd"/>
      <w:r>
        <w:rPr>
          <w:rFonts w:ascii="Arial" w:hAnsi="Arial"/>
          <w:sz w:val="22"/>
          <w:szCs w:val="22"/>
        </w:rPr>
        <w:t xml:space="preserve"> </w:t>
      </w:r>
      <w:proofErr w:type="spellStart"/>
      <w:r>
        <w:rPr>
          <w:rFonts w:ascii="Arial" w:hAnsi="Arial"/>
          <w:sz w:val="22"/>
          <w:szCs w:val="22"/>
        </w:rPr>
        <w:t>osvjetli</w:t>
      </w:r>
      <w:proofErr w:type="spellEnd"/>
      <w:r>
        <w:rPr>
          <w:rFonts w:ascii="Arial" w:hAnsi="Arial"/>
          <w:sz w:val="22"/>
          <w:szCs w:val="22"/>
        </w:rPr>
        <w:t xml:space="preserve"> s LED reflektorima na postojećim rasvjetnim stupovima i nosačima na dva pilona mosta Dr. </w:t>
      </w:r>
      <w:proofErr w:type="spellStart"/>
      <w:r>
        <w:rPr>
          <w:rFonts w:ascii="Arial" w:hAnsi="Arial"/>
          <w:sz w:val="22"/>
          <w:szCs w:val="22"/>
        </w:rPr>
        <w:t>Franja</w:t>
      </w:r>
      <w:proofErr w:type="spellEnd"/>
      <w:r>
        <w:rPr>
          <w:rFonts w:ascii="Arial" w:hAnsi="Arial"/>
          <w:sz w:val="22"/>
          <w:szCs w:val="22"/>
        </w:rPr>
        <w:t xml:space="preserve"> Tuđmana. Na taj način bi se dio obale sjeverozapadno od zgrade Lučka obala umjesto 10 kom svjetiljki KAOS 2, </w:t>
      </w:r>
      <w:proofErr w:type="spellStart"/>
      <w:r>
        <w:rPr>
          <w:rFonts w:ascii="Arial" w:hAnsi="Arial"/>
          <w:sz w:val="22"/>
          <w:szCs w:val="22"/>
        </w:rPr>
        <w:t>osvjetlio</w:t>
      </w:r>
      <w:proofErr w:type="spellEnd"/>
      <w:r>
        <w:rPr>
          <w:rFonts w:ascii="Arial" w:hAnsi="Arial"/>
          <w:sz w:val="22"/>
          <w:szCs w:val="22"/>
        </w:rPr>
        <w:t xml:space="preserve"> s istim brojem LED reflektora na istim stupovima. Isto tako 8 kom MH reflektora na 2 rasvjetna stupa sa sjeveroistočne strane zgrade Lučka obala, </w:t>
      </w:r>
      <w:proofErr w:type="spellStart"/>
      <w:r>
        <w:rPr>
          <w:rFonts w:ascii="Arial" w:hAnsi="Arial"/>
          <w:sz w:val="22"/>
          <w:szCs w:val="22"/>
        </w:rPr>
        <w:t>zamjenila</w:t>
      </w:r>
      <w:proofErr w:type="spellEnd"/>
      <w:r>
        <w:rPr>
          <w:rFonts w:ascii="Arial" w:hAnsi="Arial"/>
          <w:sz w:val="22"/>
          <w:szCs w:val="22"/>
        </w:rPr>
        <w:t xml:space="preserve"> bi se istim brojem odgovarajućih LED reflektora. Ostalih 69 novih LED reflektora </w:t>
      </w:r>
      <w:proofErr w:type="spellStart"/>
      <w:r>
        <w:rPr>
          <w:rFonts w:ascii="Arial" w:hAnsi="Arial"/>
          <w:sz w:val="22"/>
          <w:szCs w:val="22"/>
        </w:rPr>
        <w:t>zamjenilo</w:t>
      </w:r>
      <w:proofErr w:type="spellEnd"/>
      <w:r>
        <w:rPr>
          <w:rFonts w:ascii="Arial" w:hAnsi="Arial"/>
          <w:sz w:val="22"/>
          <w:szCs w:val="22"/>
        </w:rPr>
        <w:t xml:space="preserve"> bi ukupno 107 kom starih MH reflektora. Sve preostale stare svjetiljke 35 kom, na istim mjestima </w:t>
      </w:r>
      <w:proofErr w:type="spellStart"/>
      <w:r>
        <w:rPr>
          <w:rFonts w:ascii="Arial" w:hAnsi="Arial"/>
          <w:sz w:val="22"/>
          <w:szCs w:val="22"/>
        </w:rPr>
        <w:t>zamjenile</w:t>
      </w:r>
      <w:proofErr w:type="spellEnd"/>
      <w:r>
        <w:rPr>
          <w:rFonts w:ascii="Arial" w:hAnsi="Arial"/>
          <w:sz w:val="22"/>
          <w:szCs w:val="22"/>
        </w:rPr>
        <w:t xml:space="preserve"> bi se s odgovarajućim LED svjetiljkama.   </w:t>
      </w:r>
    </w:p>
    <w:p w:rsidR="00366B80" w:rsidRDefault="00366B80" w:rsidP="00366B80">
      <w:pPr>
        <w:ind w:left="-142"/>
        <w:jc w:val="both"/>
        <w:rPr>
          <w:rFonts w:ascii="Arial" w:hAnsi="Arial"/>
          <w:sz w:val="22"/>
          <w:szCs w:val="22"/>
        </w:rPr>
      </w:pPr>
      <w:r>
        <w:rPr>
          <w:rFonts w:ascii="Arial" w:hAnsi="Arial"/>
          <w:sz w:val="22"/>
          <w:szCs w:val="22"/>
        </w:rPr>
        <w:t xml:space="preserve">Ukupna instalirana snaga svih 122 kom LED svjetiljki i reflektora nakon predviđene rekonstrukcije iznosi 36,62 kW, što  je smanjenje za 39,05 kW u odnosu na ukupno instaliranu </w:t>
      </w:r>
      <w:r>
        <w:rPr>
          <w:rFonts w:ascii="Arial" w:hAnsi="Arial"/>
          <w:sz w:val="22"/>
          <w:szCs w:val="22"/>
        </w:rPr>
        <w:lastRenderedPageBreak/>
        <w:t xml:space="preserve">snagu svih     161 kom postojećih svjetiljki i reflektora, a koja iznosi 75,67 kW. Dakle zamjenom postojećih rasvjetnih tijela s LED rasvjetnim tijelima smanjena je instalirana snaga za </w:t>
      </w:r>
      <w:proofErr w:type="spellStart"/>
      <w:r>
        <w:rPr>
          <w:rFonts w:ascii="Arial" w:hAnsi="Arial"/>
          <w:sz w:val="22"/>
          <w:szCs w:val="22"/>
        </w:rPr>
        <w:t>cca</w:t>
      </w:r>
      <w:proofErr w:type="spellEnd"/>
      <w:r>
        <w:rPr>
          <w:rFonts w:ascii="Arial" w:hAnsi="Arial"/>
          <w:sz w:val="22"/>
          <w:szCs w:val="22"/>
        </w:rPr>
        <w:t xml:space="preserve"> 52%. Time se ostvaruje </w:t>
      </w:r>
      <w:proofErr w:type="spellStart"/>
      <w:r>
        <w:rPr>
          <w:rFonts w:ascii="Arial" w:hAnsi="Arial"/>
          <w:sz w:val="22"/>
          <w:szCs w:val="22"/>
        </w:rPr>
        <w:t>uštededa</w:t>
      </w:r>
      <w:proofErr w:type="spellEnd"/>
      <w:r>
        <w:rPr>
          <w:rFonts w:ascii="Arial" w:hAnsi="Arial"/>
          <w:sz w:val="22"/>
          <w:szCs w:val="22"/>
        </w:rPr>
        <w:t xml:space="preserve"> u potrošnji električne energije za period godine dana:</w:t>
      </w:r>
    </w:p>
    <w:p w:rsidR="00366B80" w:rsidRDefault="00366B80" w:rsidP="00366B80">
      <w:pPr>
        <w:ind w:left="-142"/>
        <w:jc w:val="both"/>
        <w:rPr>
          <w:rFonts w:ascii="Arial" w:hAnsi="Arial"/>
          <w:sz w:val="22"/>
          <w:szCs w:val="22"/>
        </w:rPr>
      </w:pPr>
    </w:p>
    <w:p w:rsidR="00366B80" w:rsidRDefault="00366B80" w:rsidP="00366B80">
      <w:pPr>
        <w:ind w:left="-142"/>
        <w:jc w:val="center"/>
        <w:rPr>
          <w:rFonts w:ascii="Arial" w:hAnsi="Arial"/>
          <w:sz w:val="22"/>
          <w:szCs w:val="22"/>
        </w:rPr>
      </w:pPr>
      <w:r w:rsidRPr="00427D02">
        <w:rPr>
          <w:rFonts w:ascii="Arial" w:hAnsi="Arial"/>
          <w:b/>
          <w:sz w:val="22"/>
          <w:szCs w:val="22"/>
        </w:rPr>
        <w:t xml:space="preserve">160.125 </w:t>
      </w:r>
      <w:proofErr w:type="spellStart"/>
      <w:r w:rsidRPr="00427D02">
        <w:rPr>
          <w:rFonts w:ascii="Arial" w:hAnsi="Arial"/>
          <w:b/>
          <w:sz w:val="22"/>
          <w:szCs w:val="22"/>
        </w:rPr>
        <w:t>kWh</w:t>
      </w:r>
      <w:proofErr w:type="spellEnd"/>
      <w:r>
        <w:rPr>
          <w:rFonts w:ascii="Arial" w:hAnsi="Arial"/>
          <w:sz w:val="22"/>
          <w:szCs w:val="22"/>
        </w:rPr>
        <w:t xml:space="preserve"> (310.263 </w:t>
      </w:r>
      <w:proofErr w:type="spellStart"/>
      <w:r>
        <w:rPr>
          <w:rFonts w:ascii="Arial" w:hAnsi="Arial"/>
          <w:sz w:val="22"/>
          <w:szCs w:val="22"/>
        </w:rPr>
        <w:t>kWh</w:t>
      </w:r>
      <w:proofErr w:type="spellEnd"/>
      <w:r>
        <w:rPr>
          <w:rFonts w:ascii="Arial" w:hAnsi="Arial"/>
          <w:sz w:val="22"/>
          <w:szCs w:val="22"/>
        </w:rPr>
        <w:t xml:space="preserve">-150.138 </w:t>
      </w:r>
      <w:proofErr w:type="spellStart"/>
      <w:r>
        <w:rPr>
          <w:rFonts w:ascii="Arial" w:hAnsi="Arial"/>
          <w:sz w:val="22"/>
          <w:szCs w:val="22"/>
        </w:rPr>
        <w:t>kWh</w:t>
      </w:r>
      <w:proofErr w:type="spellEnd"/>
      <w:r>
        <w:rPr>
          <w:rFonts w:ascii="Arial" w:hAnsi="Arial"/>
          <w:sz w:val="22"/>
          <w:szCs w:val="22"/>
        </w:rPr>
        <w:t>)</w:t>
      </w: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rPr>
          <w:rFonts w:ascii="Arial" w:hAnsi="Arial"/>
          <w:sz w:val="22"/>
          <w:szCs w:val="22"/>
        </w:rPr>
      </w:pPr>
    </w:p>
    <w:p w:rsidR="00366B80" w:rsidRDefault="00366B80" w:rsidP="00366B80">
      <w:pPr>
        <w:tabs>
          <w:tab w:val="left" w:pos="1134"/>
        </w:tabs>
        <w:ind w:left="720" w:right="-142" w:hanging="862"/>
        <w:rPr>
          <w:rFonts w:ascii="Arial" w:hAnsi="Arial"/>
          <w:sz w:val="22"/>
          <w:szCs w:val="22"/>
        </w:rPr>
      </w:pPr>
    </w:p>
    <w:p w:rsidR="00366B80" w:rsidRDefault="00366B80" w:rsidP="00366B80">
      <w:pPr>
        <w:tabs>
          <w:tab w:val="left" w:pos="1134"/>
        </w:tabs>
        <w:ind w:left="720" w:right="-142" w:hanging="862"/>
        <w:rPr>
          <w:rFonts w:ascii="Arial" w:hAnsi="Arial"/>
          <w:sz w:val="22"/>
          <w:szCs w:val="22"/>
        </w:rPr>
      </w:pPr>
    </w:p>
    <w:p w:rsidR="00366B80" w:rsidRDefault="00366B80" w:rsidP="00366B80">
      <w:pPr>
        <w:tabs>
          <w:tab w:val="left" w:pos="1134"/>
        </w:tabs>
        <w:ind w:left="720" w:right="-142" w:hanging="862"/>
        <w:rPr>
          <w:rFonts w:ascii="Arial" w:hAnsi="Arial"/>
          <w:sz w:val="22"/>
          <w:szCs w:val="22"/>
        </w:rPr>
      </w:pPr>
      <w:r w:rsidRPr="00CB7865">
        <w:rPr>
          <w:rFonts w:ascii="Arial" w:hAnsi="Arial"/>
          <w:sz w:val="22"/>
          <w:szCs w:val="22"/>
        </w:rPr>
        <w:t>2.1.</w:t>
      </w:r>
      <w:r>
        <w:rPr>
          <w:rFonts w:ascii="Arial" w:hAnsi="Arial"/>
          <w:sz w:val="22"/>
          <w:szCs w:val="22"/>
        </w:rPr>
        <w:t>3.1.</w:t>
      </w:r>
      <w:r w:rsidRPr="00CB7865">
        <w:rPr>
          <w:rFonts w:ascii="Arial" w:hAnsi="Arial"/>
          <w:sz w:val="22"/>
          <w:szCs w:val="22"/>
        </w:rPr>
        <w:t xml:space="preserve"> </w:t>
      </w:r>
      <w:r w:rsidRPr="00CB7865">
        <w:rPr>
          <w:rFonts w:ascii="Arial" w:hAnsi="Arial"/>
          <w:sz w:val="22"/>
          <w:szCs w:val="22"/>
        </w:rPr>
        <w:tab/>
      </w:r>
      <w:r>
        <w:rPr>
          <w:rFonts w:ascii="Arial" w:hAnsi="Arial"/>
          <w:sz w:val="22"/>
          <w:szCs w:val="22"/>
        </w:rPr>
        <w:tab/>
        <w:t xml:space="preserve">Podjela cjelokupnog lučkog prostora na dijelove područja luke prema namjeni   </w:t>
      </w:r>
    </w:p>
    <w:p w:rsidR="00366B80" w:rsidRDefault="00366B80" w:rsidP="00366B80">
      <w:pPr>
        <w:tabs>
          <w:tab w:val="left" w:pos="1134"/>
        </w:tabs>
        <w:ind w:left="720" w:right="-142" w:hanging="862"/>
        <w:rPr>
          <w:rFonts w:ascii="Arial" w:hAnsi="Arial"/>
          <w:sz w:val="22"/>
          <w:szCs w:val="22"/>
        </w:rPr>
      </w:pPr>
      <w:r>
        <w:rPr>
          <w:rFonts w:ascii="Arial" w:hAnsi="Arial"/>
          <w:sz w:val="22"/>
          <w:szCs w:val="22"/>
        </w:rPr>
        <w:tab/>
      </w:r>
      <w:r>
        <w:rPr>
          <w:rFonts w:ascii="Arial" w:hAnsi="Arial"/>
          <w:sz w:val="22"/>
          <w:szCs w:val="22"/>
        </w:rPr>
        <w:tab/>
        <w:t>površina i prema zahtjevima za projektiranje  rasvjete na površinama tih područja</w:t>
      </w:r>
    </w:p>
    <w:p w:rsidR="00366B80" w:rsidRDefault="00366B80" w:rsidP="00366B80">
      <w:pPr>
        <w:rPr>
          <w:rFonts w:ascii="Arial" w:hAnsi="Arial" w:cs="Arial"/>
          <w:b/>
        </w:rPr>
      </w:pPr>
    </w:p>
    <w:p w:rsidR="00366B80" w:rsidRDefault="00366B80" w:rsidP="00366B80">
      <w:pPr>
        <w:ind w:left="-142"/>
        <w:jc w:val="both"/>
        <w:rPr>
          <w:rFonts w:ascii="Arial" w:hAnsi="Arial" w:cs="Arial"/>
          <w:sz w:val="22"/>
          <w:szCs w:val="22"/>
        </w:rPr>
      </w:pPr>
      <w:r>
        <w:rPr>
          <w:rFonts w:ascii="Arial" w:hAnsi="Arial" w:cs="Arial"/>
          <w:sz w:val="22"/>
          <w:szCs w:val="22"/>
        </w:rPr>
        <w:t>Područje luke prostorno i funkcionalno može se podijeliti u 9 područja (zona) i to P1, P2, P3, P4, P5, P6, P7, P8 i P9, a na temelju razlika u namjenama, aktivnostima i zadaćama radnih mjesta na tim otvorenim površinama - dijelovima luke za vrijeme noći, kada treba osigurati odgovarajuću rasvjetu tih površina.</w:t>
      </w:r>
    </w:p>
    <w:p w:rsidR="00366B80" w:rsidRDefault="00366B80" w:rsidP="00366B80">
      <w:pPr>
        <w:ind w:left="-142"/>
        <w:rPr>
          <w:rFonts w:ascii="Arial" w:hAnsi="Arial" w:cs="Arial"/>
          <w:sz w:val="22"/>
          <w:szCs w:val="22"/>
        </w:rPr>
      </w:pPr>
      <w:r>
        <w:rPr>
          <w:rFonts w:ascii="Arial" w:hAnsi="Arial" w:cs="Arial"/>
          <w:sz w:val="22"/>
          <w:szCs w:val="22"/>
        </w:rPr>
        <w:t xml:space="preserve">Zahtjevi za projektiranje rasvjete za radna mjesta na </w:t>
      </w:r>
      <w:proofErr w:type="spellStart"/>
      <w:r>
        <w:rPr>
          <w:rFonts w:ascii="Arial" w:hAnsi="Arial" w:cs="Arial"/>
          <w:sz w:val="22"/>
          <w:szCs w:val="22"/>
        </w:rPr>
        <w:t>površinam</w:t>
      </w:r>
      <w:proofErr w:type="spellEnd"/>
      <w:r>
        <w:rPr>
          <w:rFonts w:ascii="Arial" w:hAnsi="Arial" w:cs="Arial"/>
          <w:sz w:val="22"/>
          <w:szCs w:val="22"/>
        </w:rPr>
        <w:t xml:space="preserve"> vanjskih prostora putničkih luka određeni su u tablici 5.4. norme HRN EN 12464 – 2:2014, a za prometnice i parkirališta primjenjuje se zahtjevi iz tablice 5.1. norme HRN EN 12464 – 2:2014</w:t>
      </w:r>
    </w:p>
    <w:p w:rsidR="00366B80" w:rsidRDefault="00366B80" w:rsidP="00366B80">
      <w:pPr>
        <w:ind w:left="-142"/>
        <w:rPr>
          <w:rFonts w:ascii="Arial" w:hAnsi="Arial" w:cs="Arial"/>
          <w:b/>
          <w:sz w:val="22"/>
          <w:szCs w:val="22"/>
        </w:rPr>
      </w:pPr>
    </w:p>
    <w:p w:rsidR="00366B80" w:rsidRDefault="00366B80" w:rsidP="00366B80">
      <w:pPr>
        <w:ind w:left="-142"/>
        <w:rPr>
          <w:rFonts w:ascii="Arial" w:hAnsi="Arial" w:cs="Arial"/>
        </w:rPr>
      </w:pPr>
      <w:r w:rsidRPr="00136C82">
        <w:rPr>
          <w:rFonts w:ascii="Arial" w:hAnsi="Arial" w:cs="Arial"/>
          <w:b/>
          <w:sz w:val="22"/>
          <w:szCs w:val="22"/>
        </w:rPr>
        <w:t xml:space="preserve">P1 </w:t>
      </w:r>
      <w:r w:rsidRPr="00136C82">
        <w:rPr>
          <w:rFonts w:ascii="Arial" w:hAnsi="Arial" w:cs="Arial"/>
          <w:sz w:val="22"/>
          <w:szCs w:val="22"/>
        </w:rPr>
        <w:t xml:space="preserve">– </w:t>
      </w:r>
      <w:r w:rsidRPr="000D76F2">
        <w:rPr>
          <w:rFonts w:ascii="Arial" w:hAnsi="Arial" w:cs="Arial"/>
          <w:b/>
          <w:sz w:val="22"/>
          <w:szCs w:val="22"/>
        </w:rPr>
        <w:t>Područje operativne obale površine 32.619 m</w:t>
      </w:r>
      <w:r w:rsidRPr="000D76F2">
        <w:rPr>
          <w:rFonts w:ascii="Arial" w:hAnsi="Arial" w:cs="Arial"/>
          <w:b/>
          <w:sz w:val="22"/>
          <w:szCs w:val="22"/>
          <w:vertAlign w:val="superscript"/>
        </w:rPr>
        <w:t>2</w:t>
      </w:r>
    </w:p>
    <w:p w:rsidR="00366B80" w:rsidRDefault="00366B80" w:rsidP="00366B80">
      <w:pPr>
        <w:ind w:hanging="12"/>
        <w:rPr>
          <w:rFonts w:ascii="Arial" w:hAnsi="Arial" w:cs="Arial"/>
        </w:rPr>
      </w:pPr>
      <w:r w:rsidRPr="00136C82">
        <w:rPr>
          <w:rFonts w:ascii="Arial" w:hAnsi="Arial" w:cs="Arial"/>
          <w:sz w:val="22"/>
          <w:szCs w:val="22"/>
        </w:rPr>
        <w:t xml:space="preserve">        </w:t>
      </w:r>
      <w:r>
        <w:rPr>
          <w:rFonts w:ascii="Arial" w:hAnsi="Arial" w:cs="Arial"/>
        </w:rPr>
        <w:t xml:space="preserve"> </w:t>
      </w:r>
    </w:p>
    <w:p w:rsidR="00366B80" w:rsidRDefault="00366B80" w:rsidP="00366B80">
      <w:pPr>
        <w:ind w:left="-142"/>
        <w:rPr>
          <w:rFonts w:ascii="Arial" w:hAnsi="Arial" w:cs="Arial"/>
        </w:rPr>
      </w:pPr>
      <w:r w:rsidRPr="00136C82">
        <w:rPr>
          <w:rFonts w:ascii="Arial" w:hAnsi="Arial" w:cs="Arial"/>
          <w:sz w:val="22"/>
          <w:szCs w:val="22"/>
        </w:rPr>
        <w:t xml:space="preserve">Primjena norme </w:t>
      </w:r>
      <w:r>
        <w:rPr>
          <w:rFonts w:ascii="Arial" w:hAnsi="Arial" w:cs="Arial"/>
          <w:sz w:val="22"/>
          <w:szCs w:val="22"/>
        </w:rPr>
        <w:t xml:space="preserve">HRN </w:t>
      </w:r>
      <w:r w:rsidRPr="00136C82">
        <w:rPr>
          <w:rFonts w:ascii="Arial" w:hAnsi="Arial" w:cs="Arial"/>
          <w:sz w:val="22"/>
          <w:szCs w:val="22"/>
        </w:rPr>
        <w:t>EN 12464-2:20</w:t>
      </w:r>
      <w:r>
        <w:rPr>
          <w:rFonts w:ascii="Arial" w:hAnsi="Arial" w:cs="Arial"/>
          <w:sz w:val="22"/>
          <w:szCs w:val="22"/>
        </w:rPr>
        <w:t>14</w:t>
      </w:r>
      <w:r w:rsidRPr="00136C82">
        <w:rPr>
          <w:rFonts w:ascii="Arial" w:hAnsi="Arial" w:cs="Arial"/>
          <w:sz w:val="22"/>
          <w:szCs w:val="22"/>
        </w:rPr>
        <w:t xml:space="preserve"> (E) </w:t>
      </w:r>
      <w:r>
        <w:rPr>
          <w:rFonts w:ascii="Arial" w:hAnsi="Arial" w:cs="Arial"/>
          <w:sz w:val="22"/>
          <w:szCs w:val="22"/>
        </w:rPr>
        <w:t>–</w:t>
      </w:r>
      <w:r w:rsidRPr="00136C82">
        <w:rPr>
          <w:rFonts w:ascii="Arial" w:hAnsi="Arial" w:cs="Arial"/>
          <w:sz w:val="22"/>
          <w:szCs w:val="22"/>
        </w:rPr>
        <w:t xml:space="preserve"> </w:t>
      </w:r>
      <w:r>
        <w:rPr>
          <w:rFonts w:ascii="Arial" w:hAnsi="Arial" w:cs="Arial"/>
          <w:sz w:val="22"/>
          <w:szCs w:val="22"/>
        </w:rPr>
        <w:t>5.4.1 P</w:t>
      </w:r>
      <w:r w:rsidRPr="00136C82">
        <w:rPr>
          <w:rFonts w:ascii="Arial" w:hAnsi="Arial" w:cs="Arial"/>
          <w:sz w:val="22"/>
          <w:szCs w:val="22"/>
        </w:rPr>
        <w:t>odručja za</w:t>
      </w:r>
      <w:r>
        <w:rPr>
          <w:rFonts w:ascii="Arial" w:hAnsi="Arial" w:cs="Arial"/>
          <w:sz w:val="22"/>
          <w:szCs w:val="22"/>
        </w:rPr>
        <w:t xml:space="preserve"> </w:t>
      </w:r>
      <w:r w:rsidRPr="00136C82">
        <w:rPr>
          <w:rFonts w:ascii="Arial" w:hAnsi="Arial" w:cs="Arial"/>
          <w:sz w:val="22"/>
          <w:szCs w:val="22"/>
        </w:rPr>
        <w:t>putnike u putničkim</w:t>
      </w:r>
      <w:r>
        <w:rPr>
          <w:rFonts w:ascii="Arial" w:hAnsi="Arial" w:cs="Arial"/>
        </w:rPr>
        <w:t xml:space="preserve"> </w:t>
      </w:r>
      <w:r w:rsidRPr="00136C82">
        <w:rPr>
          <w:rFonts w:ascii="Arial" w:hAnsi="Arial" w:cs="Arial"/>
          <w:sz w:val="22"/>
          <w:szCs w:val="22"/>
        </w:rPr>
        <w:t>lukama</w:t>
      </w:r>
      <w:r>
        <w:rPr>
          <w:rFonts w:ascii="Arial" w:hAnsi="Arial" w:cs="Arial"/>
          <w:sz w:val="22"/>
          <w:szCs w:val="22"/>
        </w:rPr>
        <w:t xml:space="preserve"> </w:t>
      </w:r>
      <w:r w:rsidRPr="00136C82">
        <w:rPr>
          <w:rFonts w:ascii="Arial" w:hAnsi="Arial" w:cs="Arial"/>
          <w:sz w:val="22"/>
          <w:szCs w:val="22"/>
        </w:rPr>
        <w:t xml:space="preserve">: </w:t>
      </w:r>
      <w:r>
        <w:rPr>
          <w:rFonts w:ascii="Arial" w:hAnsi="Arial" w:cs="Arial"/>
        </w:rPr>
        <w:t xml:space="preserve">       </w:t>
      </w:r>
    </w:p>
    <w:p w:rsidR="00366B80" w:rsidRDefault="00366B80" w:rsidP="00366B80">
      <w:pPr>
        <w:ind w:hanging="12"/>
        <w:rPr>
          <w:rFonts w:ascii="Arial" w:hAnsi="Arial" w:cs="Arial"/>
          <w:sz w:val="22"/>
          <w:szCs w:val="22"/>
        </w:rPr>
      </w:pPr>
    </w:p>
    <w:p w:rsidR="00366B80" w:rsidRPr="00136C82" w:rsidRDefault="00366B80" w:rsidP="00366B80">
      <w:pPr>
        <w:ind w:left="-142"/>
        <w:rPr>
          <w:rFonts w:ascii="Arial" w:hAnsi="Arial" w:cs="Arial"/>
          <w:sz w:val="22"/>
          <w:szCs w:val="22"/>
        </w:rPr>
      </w:pPr>
      <w:r w:rsidRPr="00136C82">
        <w:rPr>
          <w:rFonts w:ascii="Arial" w:hAnsi="Arial" w:cs="Arial"/>
          <w:sz w:val="22"/>
          <w:szCs w:val="22"/>
        </w:rPr>
        <w:t>E</w:t>
      </w:r>
      <w:r w:rsidRPr="00136C82">
        <w:rPr>
          <w:rFonts w:ascii="Arial" w:hAnsi="Arial" w:cs="Arial"/>
          <w:sz w:val="22"/>
          <w:szCs w:val="22"/>
          <w:vertAlign w:val="subscript"/>
        </w:rPr>
        <w:t>m</w:t>
      </w:r>
      <w:r w:rsidRPr="00136C82">
        <w:rPr>
          <w:rFonts w:ascii="Arial" w:hAnsi="Arial" w:cs="Arial"/>
          <w:sz w:val="22"/>
          <w:szCs w:val="22"/>
        </w:rPr>
        <w:t>=50 lx; U</w:t>
      </w:r>
      <w:r w:rsidRPr="00136C82">
        <w:rPr>
          <w:rFonts w:ascii="Arial" w:hAnsi="Arial" w:cs="Arial"/>
          <w:sz w:val="22"/>
          <w:szCs w:val="22"/>
          <w:vertAlign w:val="subscript"/>
        </w:rPr>
        <w:t>0</w:t>
      </w:r>
      <w:r w:rsidRPr="00136C82">
        <w:rPr>
          <w:rFonts w:ascii="Arial" w:hAnsi="Arial" w:cs="Arial"/>
          <w:sz w:val="22"/>
          <w:szCs w:val="22"/>
        </w:rPr>
        <w:t>=0,40; GR</w:t>
      </w:r>
      <w:r w:rsidRPr="00136C82">
        <w:rPr>
          <w:rFonts w:ascii="Arial" w:hAnsi="Arial" w:cs="Arial"/>
          <w:sz w:val="22"/>
          <w:szCs w:val="22"/>
          <w:vertAlign w:val="subscript"/>
        </w:rPr>
        <w:t>L</w:t>
      </w:r>
      <w:r w:rsidRPr="00136C82">
        <w:rPr>
          <w:rFonts w:ascii="Arial" w:hAnsi="Arial" w:cs="Arial"/>
          <w:sz w:val="22"/>
          <w:szCs w:val="22"/>
        </w:rPr>
        <w:t>=50; R</w:t>
      </w:r>
      <w:r w:rsidRPr="00136C82">
        <w:rPr>
          <w:rFonts w:ascii="Arial" w:hAnsi="Arial" w:cs="Arial"/>
          <w:sz w:val="22"/>
          <w:szCs w:val="22"/>
          <w:vertAlign w:val="subscript"/>
        </w:rPr>
        <w:t>a</w:t>
      </w:r>
      <w:r w:rsidRPr="00136C82">
        <w:rPr>
          <w:rFonts w:ascii="Arial" w:hAnsi="Arial" w:cs="Arial"/>
          <w:sz w:val="22"/>
          <w:szCs w:val="22"/>
        </w:rPr>
        <w:t>=20.</w:t>
      </w:r>
    </w:p>
    <w:p w:rsidR="00366B80" w:rsidRDefault="00366B80" w:rsidP="00366B80">
      <w:pPr>
        <w:ind w:hanging="12"/>
        <w:rPr>
          <w:rFonts w:ascii="Arial" w:hAnsi="Arial" w:cs="Arial"/>
          <w:sz w:val="22"/>
          <w:szCs w:val="22"/>
        </w:rPr>
      </w:pPr>
    </w:p>
    <w:p w:rsidR="00366B80" w:rsidRDefault="00366B80" w:rsidP="00366B80">
      <w:pPr>
        <w:ind w:hanging="12"/>
        <w:rPr>
          <w:rFonts w:ascii="Arial" w:hAnsi="Arial" w:cs="Arial"/>
          <w:sz w:val="22"/>
          <w:szCs w:val="22"/>
        </w:rPr>
      </w:pPr>
    </w:p>
    <w:p w:rsidR="00366B80" w:rsidRPr="00517F76" w:rsidRDefault="00366B80" w:rsidP="00366B80">
      <w:pPr>
        <w:ind w:left="-142"/>
        <w:rPr>
          <w:rFonts w:ascii="Arial" w:hAnsi="Arial" w:cs="Arial"/>
          <w:b/>
          <w:sz w:val="22"/>
          <w:szCs w:val="22"/>
        </w:rPr>
      </w:pPr>
      <w:r w:rsidRPr="00136C82">
        <w:rPr>
          <w:rFonts w:ascii="Arial" w:hAnsi="Arial" w:cs="Arial"/>
          <w:b/>
          <w:sz w:val="22"/>
          <w:szCs w:val="22"/>
        </w:rPr>
        <w:t xml:space="preserve">P2 </w:t>
      </w:r>
      <w:r w:rsidRPr="00517F76">
        <w:rPr>
          <w:rFonts w:ascii="Arial" w:hAnsi="Arial" w:cs="Arial"/>
          <w:b/>
          <w:sz w:val="22"/>
          <w:szCs w:val="22"/>
        </w:rPr>
        <w:t>–</w:t>
      </w:r>
      <w:r w:rsidRPr="000D76F2">
        <w:rPr>
          <w:rFonts w:ascii="Arial" w:hAnsi="Arial" w:cs="Arial"/>
          <w:b/>
          <w:sz w:val="22"/>
          <w:szCs w:val="22"/>
        </w:rPr>
        <w:t xml:space="preserve"> Područje uz obalu S-Z od zgrade „Lučka uprava“ površine 6.549 m</w:t>
      </w:r>
      <w:r w:rsidRPr="00517F76">
        <w:rPr>
          <w:rFonts w:ascii="Arial" w:hAnsi="Arial" w:cs="Arial"/>
          <w:b/>
          <w:sz w:val="22"/>
          <w:szCs w:val="22"/>
        </w:rPr>
        <w:t>2</w:t>
      </w:r>
    </w:p>
    <w:p w:rsidR="00366B80" w:rsidRPr="00517F76" w:rsidRDefault="00366B80" w:rsidP="00366B80">
      <w:pPr>
        <w:ind w:left="-142"/>
        <w:rPr>
          <w:rFonts w:ascii="Arial" w:hAnsi="Arial" w:cs="Arial"/>
          <w:b/>
          <w:sz w:val="22"/>
          <w:szCs w:val="22"/>
        </w:rPr>
      </w:pPr>
      <w:r w:rsidRPr="00517F76">
        <w:rPr>
          <w:rFonts w:ascii="Arial" w:hAnsi="Arial" w:cs="Arial"/>
          <w:b/>
          <w:sz w:val="22"/>
          <w:szCs w:val="22"/>
        </w:rPr>
        <w:t xml:space="preserve">         </w:t>
      </w:r>
    </w:p>
    <w:p w:rsidR="00366B80" w:rsidRPr="00517F76" w:rsidRDefault="00366B80" w:rsidP="00366B80">
      <w:pPr>
        <w:ind w:left="-142"/>
        <w:rPr>
          <w:rFonts w:ascii="Arial" w:hAnsi="Arial" w:cs="Arial"/>
          <w:sz w:val="22"/>
          <w:szCs w:val="22"/>
        </w:rPr>
      </w:pPr>
      <w:r w:rsidRPr="00517F76">
        <w:rPr>
          <w:rFonts w:ascii="Arial" w:hAnsi="Arial" w:cs="Arial"/>
          <w:sz w:val="22"/>
          <w:szCs w:val="22"/>
        </w:rPr>
        <w:t>Primjena norme EN 12464-2:20</w:t>
      </w:r>
      <w:r>
        <w:rPr>
          <w:rFonts w:ascii="Arial" w:hAnsi="Arial" w:cs="Arial"/>
          <w:sz w:val="22"/>
          <w:szCs w:val="22"/>
        </w:rPr>
        <w:t>14</w:t>
      </w:r>
      <w:r w:rsidRPr="00517F76">
        <w:rPr>
          <w:rFonts w:ascii="Arial" w:hAnsi="Arial" w:cs="Arial"/>
          <w:sz w:val="22"/>
          <w:szCs w:val="22"/>
        </w:rPr>
        <w:t xml:space="preserve"> (E) – </w:t>
      </w:r>
      <w:r>
        <w:rPr>
          <w:rFonts w:ascii="Arial" w:hAnsi="Arial" w:cs="Arial"/>
          <w:sz w:val="22"/>
          <w:szCs w:val="22"/>
        </w:rPr>
        <w:t xml:space="preserve">5.4.2.Prolazi i </w:t>
      </w:r>
      <w:r w:rsidRPr="00517F76">
        <w:rPr>
          <w:rFonts w:ascii="Arial" w:hAnsi="Arial" w:cs="Arial"/>
          <w:sz w:val="22"/>
          <w:szCs w:val="22"/>
        </w:rPr>
        <w:t xml:space="preserve">područja za prolaze pješaka i putnika luke: </w:t>
      </w:r>
    </w:p>
    <w:p w:rsidR="00366B80" w:rsidRPr="00517F76" w:rsidRDefault="00366B80" w:rsidP="00366B80">
      <w:pPr>
        <w:ind w:left="-142"/>
        <w:rPr>
          <w:rFonts w:ascii="Arial" w:hAnsi="Arial" w:cs="Arial"/>
          <w:sz w:val="22"/>
          <w:szCs w:val="22"/>
        </w:rPr>
      </w:pPr>
    </w:p>
    <w:p w:rsidR="00366B80" w:rsidRPr="00517F76" w:rsidRDefault="00366B80" w:rsidP="00366B80">
      <w:pPr>
        <w:ind w:left="-142"/>
        <w:rPr>
          <w:rFonts w:ascii="Arial" w:hAnsi="Arial" w:cs="Arial"/>
          <w:sz w:val="22"/>
          <w:szCs w:val="22"/>
        </w:rPr>
      </w:pPr>
      <w:r w:rsidRPr="00517F76">
        <w:rPr>
          <w:rFonts w:ascii="Arial" w:hAnsi="Arial" w:cs="Arial"/>
          <w:sz w:val="22"/>
          <w:szCs w:val="22"/>
        </w:rPr>
        <w:t>Em=10 lx; U0=0,25; GRL=50; Ra=20.</w:t>
      </w:r>
    </w:p>
    <w:p w:rsidR="00366B80" w:rsidRDefault="00366B80" w:rsidP="00366B80">
      <w:pPr>
        <w:ind w:left="-142"/>
        <w:rPr>
          <w:rFonts w:ascii="Arial" w:hAnsi="Arial" w:cs="Arial"/>
          <w:b/>
          <w:sz w:val="22"/>
          <w:szCs w:val="22"/>
        </w:rPr>
      </w:pPr>
    </w:p>
    <w:p w:rsidR="00366B80" w:rsidRDefault="00366B80" w:rsidP="00366B80">
      <w:pPr>
        <w:ind w:left="-142"/>
        <w:rPr>
          <w:rFonts w:ascii="Arial" w:hAnsi="Arial" w:cs="Arial"/>
          <w:b/>
          <w:sz w:val="22"/>
          <w:szCs w:val="22"/>
        </w:rPr>
      </w:pPr>
    </w:p>
    <w:p w:rsidR="00366B80" w:rsidRPr="00517F76" w:rsidRDefault="00366B80" w:rsidP="00366B80">
      <w:pPr>
        <w:ind w:left="-142"/>
        <w:rPr>
          <w:rFonts w:ascii="Arial" w:hAnsi="Arial" w:cs="Arial"/>
          <w:b/>
          <w:sz w:val="22"/>
          <w:szCs w:val="22"/>
        </w:rPr>
      </w:pPr>
      <w:r w:rsidRPr="00136C82">
        <w:rPr>
          <w:rFonts w:ascii="Arial" w:hAnsi="Arial" w:cs="Arial"/>
          <w:b/>
          <w:sz w:val="22"/>
          <w:szCs w:val="22"/>
        </w:rPr>
        <w:t xml:space="preserve">P3 </w:t>
      </w:r>
      <w:r w:rsidRPr="00F233A8">
        <w:rPr>
          <w:rFonts w:ascii="Arial" w:hAnsi="Arial" w:cs="Arial"/>
          <w:b/>
          <w:sz w:val="22"/>
          <w:szCs w:val="22"/>
        </w:rPr>
        <w:t>– Područje uz obalu S-I od zgrade „Lučka uprava“ površine 2.330 m</w:t>
      </w:r>
      <w:r w:rsidRPr="00517F76">
        <w:rPr>
          <w:rFonts w:ascii="Arial" w:hAnsi="Arial" w:cs="Arial"/>
          <w:b/>
          <w:sz w:val="22"/>
          <w:szCs w:val="22"/>
        </w:rPr>
        <w:t>2</w:t>
      </w:r>
    </w:p>
    <w:p w:rsidR="00366B80" w:rsidRDefault="00366B80" w:rsidP="00366B80">
      <w:pPr>
        <w:ind w:left="12" w:hanging="12"/>
        <w:rPr>
          <w:rFonts w:ascii="Arial" w:hAnsi="Arial" w:cs="Arial"/>
          <w:b/>
        </w:rPr>
      </w:pPr>
    </w:p>
    <w:p w:rsidR="00366B80" w:rsidRPr="00517F76" w:rsidRDefault="00366B80" w:rsidP="00366B80">
      <w:pPr>
        <w:ind w:left="-142"/>
        <w:rPr>
          <w:rFonts w:ascii="Arial" w:hAnsi="Arial" w:cs="Arial"/>
          <w:sz w:val="22"/>
          <w:szCs w:val="22"/>
        </w:rPr>
      </w:pPr>
      <w:r w:rsidRPr="00F233A8">
        <w:rPr>
          <w:rFonts w:ascii="Arial" w:hAnsi="Arial" w:cs="Arial"/>
          <w:sz w:val="22"/>
          <w:szCs w:val="22"/>
        </w:rPr>
        <w:t>Primjena norme EN 12464-2:20</w:t>
      </w:r>
      <w:r>
        <w:rPr>
          <w:rFonts w:ascii="Arial" w:hAnsi="Arial" w:cs="Arial"/>
          <w:sz w:val="22"/>
          <w:szCs w:val="22"/>
        </w:rPr>
        <w:t>14</w:t>
      </w:r>
      <w:r w:rsidRPr="00F233A8">
        <w:rPr>
          <w:rFonts w:ascii="Arial" w:hAnsi="Arial" w:cs="Arial"/>
          <w:sz w:val="22"/>
          <w:szCs w:val="22"/>
        </w:rPr>
        <w:t xml:space="preserve"> (E) </w:t>
      </w:r>
      <w:r w:rsidRPr="00517F76">
        <w:rPr>
          <w:rFonts w:ascii="Arial" w:hAnsi="Arial" w:cs="Arial"/>
          <w:sz w:val="22"/>
          <w:szCs w:val="22"/>
        </w:rPr>
        <w:t>–</w:t>
      </w:r>
      <w:r w:rsidRPr="00F233A8">
        <w:rPr>
          <w:rFonts w:ascii="Arial" w:hAnsi="Arial" w:cs="Arial"/>
          <w:sz w:val="22"/>
          <w:szCs w:val="22"/>
        </w:rPr>
        <w:t xml:space="preserve"> </w:t>
      </w:r>
      <w:r>
        <w:rPr>
          <w:rFonts w:ascii="Arial" w:hAnsi="Arial" w:cs="Arial"/>
          <w:sz w:val="22"/>
          <w:szCs w:val="22"/>
        </w:rPr>
        <w:t>5.4.2.Prolazi i</w:t>
      </w:r>
      <w:r w:rsidRPr="00517F76">
        <w:rPr>
          <w:rFonts w:ascii="Arial" w:hAnsi="Arial" w:cs="Arial"/>
          <w:sz w:val="22"/>
          <w:szCs w:val="22"/>
        </w:rPr>
        <w:t xml:space="preserve"> područja za prolaze pješaka i putnika luke: </w:t>
      </w:r>
    </w:p>
    <w:p w:rsidR="00366B80" w:rsidRDefault="00366B80" w:rsidP="00366B80">
      <w:pPr>
        <w:ind w:left="-142"/>
        <w:rPr>
          <w:rFonts w:ascii="Arial" w:hAnsi="Arial" w:cs="Arial"/>
          <w:sz w:val="22"/>
          <w:szCs w:val="22"/>
        </w:rPr>
      </w:pPr>
    </w:p>
    <w:p w:rsidR="00366B80" w:rsidRPr="00F233A8" w:rsidRDefault="00366B80" w:rsidP="00366B80">
      <w:pPr>
        <w:ind w:left="-142"/>
        <w:rPr>
          <w:rFonts w:ascii="Arial" w:hAnsi="Arial" w:cs="Arial"/>
          <w:sz w:val="22"/>
          <w:szCs w:val="22"/>
        </w:rPr>
      </w:pPr>
      <w:r w:rsidRPr="00F233A8">
        <w:rPr>
          <w:rFonts w:ascii="Arial" w:hAnsi="Arial" w:cs="Arial"/>
          <w:sz w:val="22"/>
          <w:szCs w:val="22"/>
        </w:rPr>
        <w:t>Em=</w:t>
      </w:r>
      <w:r w:rsidRPr="00517F76">
        <w:rPr>
          <w:rFonts w:ascii="Arial" w:hAnsi="Arial" w:cs="Arial"/>
          <w:sz w:val="22"/>
          <w:szCs w:val="22"/>
        </w:rPr>
        <w:t>1</w:t>
      </w:r>
      <w:r w:rsidRPr="00F233A8">
        <w:rPr>
          <w:rFonts w:ascii="Arial" w:hAnsi="Arial" w:cs="Arial"/>
          <w:sz w:val="22"/>
          <w:szCs w:val="22"/>
        </w:rPr>
        <w:t>0 lx; U0=0,</w:t>
      </w:r>
      <w:r w:rsidRPr="00517F76">
        <w:rPr>
          <w:rFonts w:ascii="Arial" w:hAnsi="Arial" w:cs="Arial"/>
          <w:sz w:val="22"/>
          <w:szCs w:val="22"/>
        </w:rPr>
        <w:t>25</w:t>
      </w:r>
      <w:r w:rsidRPr="00F233A8">
        <w:rPr>
          <w:rFonts w:ascii="Arial" w:hAnsi="Arial" w:cs="Arial"/>
          <w:sz w:val="22"/>
          <w:szCs w:val="22"/>
        </w:rPr>
        <w:t>; GRL=50; Ra=20.</w:t>
      </w:r>
    </w:p>
    <w:p w:rsidR="00366B80" w:rsidRDefault="00366B80" w:rsidP="00366B80">
      <w:pPr>
        <w:ind w:left="-142"/>
        <w:rPr>
          <w:rFonts w:ascii="Arial" w:hAnsi="Arial" w:cs="Arial"/>
          <w:b/>
          <w:sz w:val="22"/>
          <w:szCs w:val="22"/>
        </w:rPr>
      </w:pPr>
    </w:p>
    <w:p w:rsidR="00366B80" w:rsidRDefault="00366B80" w:rsidP="00366B80">
      <w:pPr>
        <w:ind w:left="-142"/>
        <w:rPr>
          <w:rFonts w:ascii="Arial" w:hAnsi="Arial" w:cs="Arial"/>
          <w:b/>
          <w:sz w:val="22"/>
          <w:szCs w:val="22"/>
        </w:rPr>
      </w:pPr>
    </w:p>
    <w:p w:rsidR="00366B80" w:rsidRPr="00517F76" w:rsidRDefault="00366B80" w:rsidP="00366B80">
      <w:pPr>
        <w:ind w:left="-142"/>
        <w:rPr>
          <w:rFonts w:ascii="Arial" w:hAnsi="Arial" w:cs="Arial"/>
          <w:b/>
          <w:sz w:val="22"/>
          <w:szCs w:val="22"/>
        </w:rPr>
      </w:pPr>
      <w:r w:rsidRPr="00136C82">
        <w:rPr>
          <w:rFonts w:ascii="Arial" w:hAnsi="Arial" w:cs="Arial"/>
          <w:b/>
          <w:sz w:val="22"/>
          <w:szCs w:val="22"/>
        </w:rPr>
        <w:t xml:space="preserve">P4 </w:t>
      </w:r>
      <w:r w:rsidRPr="00F233A8">
        <w:rPr>
          <w:rFonts w:ascii="Arial" w:hAnsi="Arial" w:cs="Arial"/>
          <w:b/>
          <w:sz w:val="22"/>
          <w:szCs w:val="22"/>
        </w:rPr>
        <w:t>– Područje oko zgrade „Pomorska policija“ površine 2.322 m</w:t>
      </w:r>
      <w:r w:rsidRPr="00517F76">
        <w:rPr>
          <w:rFonts w:ascii="Arial" w:hAnsi="Arial" w:cs="Arial"/>
          <w:b/>
          <w:sz w:val="22"/>
          <w:szCs w:val="22"/>
        </w:rPr>
        <w:t>2</w:t>
      </w:r>
    </w:p>
    <w:p w:rsidR="00366B80" w:rsidRDefault="00366B80" w:rsidP="00366B80">
      <w:pPr>
        <w:ind w:left="567" w:hanging="12"/>
        <w:rPr>
          <w:rFonts w:ascii="Arial" w:hAnsi="Arial" w:cs="Arial"/>
        </w:rPr>
      </w:pPr>
    </w:p>
    <w:p w:rsidR="00366B80" w:rsidRDefault="00366B80" w:rsidP="00366B80">
      <w:pPr>
        <w:ind w:left="-142"/>
        <w:rPr>
          <w:rFonts w:ascii="Arial" w:hAnsi="Arial" w:cs="Arial"/>
          <w:sz w:val="22"/>
          <w:szCs w:val="22"/>
        </w:rPr>
      </w:pPr>
      <w:r w:rsidRPr="00F233A8">
        <w:rPr>
          <w:rFonts w:ascii="Arial" w:hAnsi="Arial" w:cs="Arial"/>
          <w:sz w:val="22"/>
          <w:szCs w:val="22"/>
        </w:rPr>
        <w:t>Primjena norme EN 12464-2:20</w:t>
      </w:r>
      <w:r>
        <w:rPr>
          <w:rFonts w:ascii="Arial" w:hAnsi="Arial" w:cs="Arial"/>
          <w:sz w:val="22"/>
          <w:szCs w:val="22"/>
        </w:rPr>
        <w:t>14</w:t>
      </w:r>
      <w:r w:rsidRPr="00F233A8">
        <w:rPr>
          <w:rFonts w:ascii="Arial" w:hAnsi="Arial" w:cs="Arial"/>
          <w:sz w:val="22"/>
          <w:szCs w:val="22"/>
        </w:rPr>
        <w:t xml:space="preserve"> (E) </w:t>
      </w:r>
      <w:r w:rsidRPr="00517F76">
        <w:rPr>
          <w:rFonts w:ascii="Arial" w:hAnsi="Arial" w:cs="Arial"/>
          <w:sz w:val="22"/>
          <w:szCs w:val="22"/>
        </w:rPr>
        <w:t>–</w:t>
      </w:r>
      <w:r w:rsidRPr="00F233A8">
        <w:rPr>
          <w:rFonts w:ascii="Arial" w:hAnsi="Arial" w:cs="Arial"/>
          <w:sz w:val="22"/>
          <w:szCs w:val="22"/>
        </w:rPr>
        <w:t xml:space="preserve"> </w:t>
      </w:r>
      <w:r>
        <w:rPr>
          <w:rFonts w:ascii="Arial" w:hAnsi="Arial" w:cs="Arial"/>
          <w:sz w:val="22"/>
          <w:szCs w:val="22"/>
        </w:rPr>
        <w:t>5.4.2.Prolazi i</w:t>
      </w:r>
      <w:r w:rsidRPr="00517F76">
        <w:rPr>
          <w:rFonts w:ascii="Arial" w:hAnsi="Arial" w:cs="Arial"/>
          <w:sz w:val="22"/>
          <w:szCs w:val="22"/>
        </w:rPr>
        <w:t xml:space="preserve"> područja za prolaze pješaka i putnika luke</w:t>
      </w:r>
    </w:p>
    <w:p w:rsidR="00366B80" w:rsidRPr="00F233A8" w:rsidRDefault="00366B80" w:rsidP="00366B80">
      <w:pPr>
        <w:ind w:left="-142"/>
        <w:rPr>
          <w:rFonts w:ascii="Arial" w:hAnsi="Arial" w:cs="Arial"/>
          <w:sz w:val="22"/>
          <w:szCs w:val="22"/>
        </w:rPr>
      </w:pPr>
      <w:r w:rsidRPr="00F233A8">
        <w:rPr>
          <w:rFonts w:ascii="Arial" w:hAnsi="Arial" w:cs="Arial"/>
          <w:sz w:val="22"/>
          <w:szCs w:val="22"/>
        </w:rPr>
        <w:t>Em=</w:t>
      </w:r>
      <w:r w:rsidRPr="00517F76">
        <w:rPr>
          <w:rFonts w:ascii="Arial" w:hAnsi="Arial" w:cs="Arial"/>
          <w:sz w:val="22"/>
          <w:szCs w:val="22"/>
        </w:rPr>
        <w:t>1</w:t>
      </w:r>
      <w:r w:rsidRPr="00F233A8">
        <w:rPr>
          <w:rFonts w:ascii="Arial" w:hAnsi="Arial" w:cs="Arial"/>
          <w:sz w:val="22"/>
          <w:szCs w:val="22"/>
        </w:rPr>
        <w:t>0 lx; U0=0,</w:t>
      </w:r>
      <w:r w:rsidRPr="00517F76">
        <w:rPr>
          <w:rFonts w:ascii="Arial" w:hAnsi="Arial" w:cs="Arial"/>
          <w:sz w:val="22"/>
          <w:szCs w:val="22"/>
        </w:rPr>
        <w:t>25</w:t>
      </w:r>
      <w:r w:rsidRPr="00F233A8">
        <w:rPr>
          <w:rFonts w:ascii="Arial" w:hAnsi="Arial" w:cs="Arial"/>
          <w:sz w:val="22"/>
          <w:szCs w:val="22"/>
        </w:rPr>
        <w:t>; GRL=50; Ra=20.</w:t>
      </w:r>
    </w:p>
    <w:p w:rsidR="00366B80" w:rsidRDefault="00366B80" w:rsidP="00366B80">
      <w:pPr>
        <w:ind w:hanging="12"/>
        <w:rPr>
          <w:rFonts w:ascii="Arial" w:hAnsi="Arial" w:cs="Arial"/>
          <w:sz w:val="22"/>
          <w:szCs w:val="22"/>
        </w:rPr>
      </w:pPr>
    </w:p>
    <w:p w:rsidR="00366B80" w:rsidRPr="00E050E5" w:rsidRDefault="00366B80" w:rsidP="00366B80">
      <w:pPr>
        <w:ind w:hanging="12"/>
        <w:rPr>
          <w:rFonts w:ascii="Arial" w:hAnsi="Arial" w:cs="Arial"/>
          <w:sz w:val="22"/>
          <w:szCs w:val="22"/>
        </w:rPr>
      </w:pPr>
    </w:p>
    <w:p w:rsidR="00366B80" w:rsidRPr="00517F76" w:rsidRDefault="00366B80" w:rsidP="00366B80">
      <w:pPr>
        <w:ind w:left="-142"/>
        <w:rPr>
          <w:rFonts w:ascii="Arial" w:hAnsi="Arial" w:cs="Arial"/>
          <w:b/>
          <w:sz w:val="22"/>
          <w:szCs w:val="22"/>
        </w:rPr>
      </w:pPr>
      <w:r w:rsidRPr="00136C82">
        <w:rPr>
          <w:rFonts w:ascii="Arial" w:hAnsi="Arial" w:cs="Arial"/>
          <w:b/>
          <w:sz w:val="22"/>
          <w:szCs w:val="22"/>
        </w:rPr>
        <w:t xml:space="preserve">P5 </w:t>
      </w:r>
      <w:r w:rsidRPr="00F233A8">
        <w:rPr>
          <w:rFonts w:ascii="Arial" w:hAnsi="Arial" w:cs="Arial"/>
          <w:b/>
          <w:sz w:val="22"/>
          <w:szCs w:val="22"/>
        </w:rPr>
        <w:t>– Područje prometnice uz sjevernu ogradu lučkog područja površine  3.638 m</w:t>
      </w:r>
      <w:r w:rsidRPr="00517F76">
        <w:rPr>
          <w:rFonts w:ascii="Arial" w:hAnsi="Arial" w:cs="Arial"/>
          <w:b/>
          <w:sz w:val="22"/>
          <w:szCs w:val="22"/>
        </w:rPr>
        <w:t>2</w:t>
      </w:r>
    </w:p>
    <w:p w:rsidR="00366B80" w:rsidRDefault="00366B80" w:rsidP="00366B80">
      <w:pPr>
        <w:ind w:left="567" w:hanging="12"/>
        <w:rPr>
          <w:rFonts w:ascii="Arial" w:hAnsi="Arial" w:cs="Arial"/>
        </w:rPr>
      </w:pPr>
    </w:p>
    <w:p w:rsidR="00366B80" w:rsidRDefault="00366B80" w:rsidP="00366B80">
      <w:pPr>
        <w:ind w:left="-142"/>
        <w:rPr>
          <w:rFonts w:ascii="Arial" w:hAnsi="Arial" w:cs="Arial"/>
          <w:sz w:val="22"/>
          <w:szCs w:val="22"/>
        </w:rPr>
      </w:pPr>
      <w:r w:rsidRPr="00136C82">
        <w:rPr>
          <w:rFonts w:ascii="Arial" w:hAnsi="Arial" w:cs="Arial"/>
          <w:sz w:val="22"/>
          <w:szCs w:val="22"/>
        </w:rPr>
        <w:t>Primjena norme EN 12464-2:20</w:t>
      </w:r>
      <w:r>
        <w:rPr>
          <w:rFonts w:ascii="Arial" w:hAnsi="Arial" w:cs="Arial"/>
          <w:sz w:val="22"/>
          <w:szCs w:val="22"/>
        </w:rPr>
        <w:t>14</w:t>
      </w:r>
      <w:r w:rsidRPr="00136C82">
        <w:rPr>
          <w:rFonts w:ascii="Arial" w:hAnsi="Arial" w:cs="Arial"/>
          <w:sz w:val="22"/>
          <w:szCs w:val="22"/>
        </w:rPr>
        <w:t xml:space="preserve"> (E) </w:t>
      </w:r>
      <w:r w:rsidRPr="00517F76">
        <w:rPr>
          <w:rFonts w:ascii="Arial" w:hAnsi="Arial" w:cs="Arial"/>
          <w:sz w:val="22"/>
          <w:szCs w:val="22"/>
        </w:rPr>
        <w:t>–</w:t>
      </w:r>
      <w:r w:rsidRPr="00136C82">
        <w:rPr>
          <w:rFonts w:ascii="Arial" w:hAnsi="Arial" w:cs="Arial"/>
          <w:sz w:val="22"/>
          <w:szCs w:val="22"/>
        </w:rPr>
        <w:t xml:space="preserve"> </w:t>
      </w:r>
      <w:r>
        <w:rPr>
          <w:rFonts w:ascii="Arial" w:hAnsi="Arial" w:cs="Arial"/>
          <w:sz w:val="22"/>
          <w:szCs w:val="22"/>
        </w:rPr>
        <w:t>5.1.3. P</w:t>
      </w:r>
      <w:r w:rsidRPr="00517F76">
        <w:rPr>
          <w:rFonts w:ascii="Arial" w:hAnsi="Arial" w:cs="Arial"/>
          <w:sz w:val="22"/>
          <w:szCs w:val="22"/>
        </w:rPr>
        <w:t>romet</w:t>
      </w:r>
      <w:r>
        <w:rPr>
          <w:rFonts w:ascii="Arial" w:hAnsi="Arial" w:cs="Arial"/>
          <w:sz w:val="22"/>
          <w:szCs w:val="22"/>
        </w:rPr>
        <w:t xml:space="preserve"> vozila maksimalna brzina do 40 km/h</w:t>
      </w:r>
      <w:r w:rsidRPr="00136C82">
        <w:rPr>
          <w:rFonts w:ascii="Arial" w:hAnsi="Arial" w:cs="Arial"/>
          <w:sz w:val="22"/>
          <w:szCs w:val="22"/>
        </w:rPr>
        <w:t xml:space="preserve">: </w:t>
      </w:r>
    </w:p>
    <w:p w:rsidR="00366B80" w:rsidRDefault="00366B80" w:rsidP="00366B80">
      <w:pPr>
        <w:ind w:left="-142"/>
        <w:rPr>
          <w:rFonts w:ascii="Arial" w:hAnsi="Arial" w:cs="Arial"/>
          <w:sz w:val="22"/>
          <w:szCs w:val="22"/>
        </w:rPr>
      </w:pPr>
    </w:p>
    <w:p w:rsidR="00366B80" w:rsidRPr="00136C82" w:rsidRDefault="00366B80" w:rsidP="00366B80">
      <w:pPr>
        <w:ind w:left="-142"/>
        <w:rPr>
          <w:rFonts w:ascii="Arial" w:hAnsi="Arial" w:cs="Arial"/>
          <w:sz w:val="22"/>
          <w:szCs w:val="22"/>
        </w:rPr>
      </w:pPr>
      <w:r w:rsidRPr="00136C82">
        <w:rPr>
          <w:rFonts w:ascii="Arial" w:hAnsi="Arial" w:cs="Arial"/>
          <w:sz w:val="22"/>
          <w:szCs w:val="22"/>
        </w:rPr>
        <w:lastRenderedPageBreak/>
        <w:t>E</w:t>
      </w:r>
      <w:r w:rsidRPr="00F233A8">
        <w:rPr>
          <w:rFonts w:ascii="Arial" w:hAnsi="Arial" w:cs="Arial"/>
          <w:sz w:val="22"/>
          <w:szCs w:val="22"/>
        </w:rPr>
        <w:t>m</w:t>
      </w:r>
      <w:r w:rsidRPr="00136C82">
        <w:rPr>
          <w:rFonts w:ascii="Arial" w:hAnsi="Arial" w:cs="Arial"/>
          <w:sz w:val="22"/>
          <w:szCs w:val="22"/>
        </w:rPr>
        <w:t>=</w:t>
      </w:r>
      <w:r>
        <w:rPr>
          <w:rFonts w:ascii="Arial" w:hAnsi="Arial" w:cs="Arial"/>
          <w:sz w:val="22"/>
          <w:szCs w:val="22"/>
        </w:rPr>
        <w:t>2</w:t>
      </w:r>
      <w:r w:rsidRPr="00517F76">
        <w:rPr>
          <w:rFonts w:ascii="Arial" w:hAnsi="Arial" w:cs="Arial"/>
          <w:sz w:val="22"/>
          <w:szCs w:val="22"/>
        </w:rPr>
        <w:t>0</w:t>
      </w:r>
      <w:r w:rsidRPr="00136C82">
        <w:rPr>
          <w:rFonts w:ascii="Arial" w:hAnsi="Arial" w:cs="Arial"/>
          <w:sz w:val="22"/>
          <w:szCs w:val="22"/>
        </w:rPr>
        <w:t xml:space="preserve"> lx; U</w:t>
      </w:r>
      <w:r w:rsidRPr="00F233A8">
        <w:rPr>
          <w:rFonts w:ascii="Arial" w:hAnsi="Arial" w:cs="Arial"/>
          <w:sz w:val="22"/>
          <w:szCs w:val="22"/>
        </w:rPr>
        <w:t>0</w:t>
      </w:r>
      <w:r w:rsidRPr="00136C82">
        <w:rPr>
          <w:rFonts w:ascii="Arial" w:hAnsi="Arial" w:cs="Arial"/>
          <w:sz w:val="22"/>
          <w:szCs w:val="22"/>
        </w:rPr>
        <w:t>=0,</w:t>
      </w:r>
      <w:r>
        <w:rPr>
          <w:rFonts w:ascii="Arial" w:hAnsi="Arial" w:cs="Arial"/>
          <w:sz w:val="22"/>
          <w:szCs w:val="22"/>
        </w:rPr>
        <w:t>40</w:t>
      </w:r>
      <w:r w:rsidRPr="00136C82">
        <w:rPr>
          <w:rFonts w:ascii="Arial" w:hAnsi="Arial" w:cs="Arial"/>
          <w:sz w:val="22"/>
          <w:szCs w:val="22"/>
        </w:rPr>
        <w:t>; GR</w:t>
      </w:r>
      <w:r w:rsidRPr="00F233A8">
        <w:rPr>
          <w:rFonts w:ascii="Arial" w:hAnsi="Arial" w:cs="Arial"/>
          <w:sz w:val="22"/>
          <w:szCs w:val="22"/>
        </w:rPr>
        <w:t>L</w:t>
      </w:r>
      <w:r w:rsidRPr="00136C82">
        <w:rPr>
          <w:rFonts w:ascii="Arial" w:hAnsi="Arial" w:cs="Arial"/>
          <w:sz w:val="22"/>
          <w:szCs w:val="22"/>
        </w:rPr>
        <w:t>=</w:t>
      </w:r>
      <w:r>
        <w:rPr>
          <w:rFonts w:ascii="Arial" w:hAnsi="Arial" w:cs="Arial"/>
          <w:sz w:val="22"/>
          <w:szCs w:val="22"/>
        </w:rPr>
        <w:t>45</w:t>
      </w:r>
      <w:r w:rsidRPr="00136C82">
        <w:rPr>
          <w:rFonts w:ascii="Arial" w:hAnsi="Arial" w:cs="Arial"/>
          <w:sz w:val="22"/>
          <w:szCs w:val="22"/>
        </w:rPr>
        <w:t>; R</w:t>
      </w:r>
      <w:r w:rsidRPr="00F233A8">
        <w:rPr>
          <w:rFonts w:ascii="Arial" w:hAnsi="Arial" w:cs="Arial"/>
          <w:sz w:val="22"/>
          <w:szCs w:val="22"/>
        </w:rPr>
        <w:t>a</w:t>
      </w:r>
      <w:r w:rsidRPr="00136C82">
        <w:rPr>
          <w:rFonts w:ascii="Arial" w:hAnsi="Arial" w:cs="Arial"/>
          <w:sz w:val="22"/>
          <w:szCs w:val="22"/>
        </w:rPr>
        <w:t>=20.</w:t>
      </w:r>
    </w:p>
    <w:p w:rsidR="00366B80" w:rsidRDefault="00366B80" w:rsidP="00366B80">
      <w:pPr>
        <w:ind w:left="480" w:hanging="12"/>
        <w:rPr>
          <w:rFonts w:ascii="Arial" w:hAnsi="Arial" w:cs="Arial"/>
        </w:rPr>
      </w:pPr>
    </w:p>
    <w:p w:rsidR="00366B80" w:rsidRDefault="00366B80" w:rsidP="00366B80">
      <w:pPr>
        <w:ind w:left="480" w:hanging="12"/>
        <w:rPr>
          <w:rFonts w:ascii="Arial" w:hAnsi="Arial" w:cs="Arial"/>
        </w:rPr>
      </w:pPr>
    </w:p>
    <w:p w:rsidR="00366B80" w:rsidRPr="00517F76" w:rsidRDefault="00366B80" w:rsidP="00366B80">
      <w:pPr>
        <w:ind w:left="-142"/>
        <w:rPr>
          <w:rFonts w:ascii="Arial" w:hAnsi="Arial" w:cs="Arial"/>
          <w:b/>
          <w:sz w:val="22"/>
          <w:szCs w:val="22"/>
        </w:rPr>
      </w:pPr>
      <w:r w:rsidRPr="00136C82">
        <w:rPr>
          <w:rFonts w:ascii="Arial" w:hAnsi="Arial" w:cs="Arial"/>
          <w:b/>
          <w:sz w:val="22"/>
          <w:szCs w:val="22"/>
        </w:rPr>
        <w:t xml:space="preserve">P6 </w:t>
      </w:r>
      <w:r w:rsidRPr="00F233A8">
        <w:rPr>
          <w:rFonts w:ascii="Arial" w:hAnsi="Arial" w:cs="Arial"/>
          <w:b/>
          <w:sz w:val="22"/>
          <w:szCs w:val="22"/>
        </w:rPr>
        <w:t>– Područje prometnice -prolaz prema autobusnom kolodvoru površine 929 m</w:t>
      </w:r>
      <w:r w:rsidRPr="00517F76">
        <w:rPr>
          <w:rFonts w:ascii="Arial" w:hAnsi="Arial" w:cs="Arial"/>
          <w:b/>
          <w:sz w:val="22"/>
          <w:szCs w:val="22"/>
        </w:rPr>
        <w:t>2</w:t>
      </w:r>
      <w:r w:rsidRPr="00F233A8">
        <w:rPr>
          <w:rFonts w:ascii="Arial" w:hAnsi="Arial" w:cs="Arial"/>
          <w:b/>
          <w:sz w:val="22"/>
          <w:szCs w:val="22"/>
        </w:rPr>
        <w:t xml:space="preserve"> </w:t>
      </w:r>
    </w:p>
    <w:p w:rsidR="00366B80" w:rsidRDefault="00366B80" w:rsidP="00366B80">
      <w:pPr>
        <w:ind w:left="567" w:hanging="12"/>
        <w:rPr>
          <w:rFonts w:ascii="Arial" w:hAnsi="Arial" w:cs="Arial"/>
        </w:rPr>
      </w:pPr>
    </w:p>
    <w:p w:rsidR="00366B80" w:rsidRDefault="00366B80" w:rsidP="00366B80">
      <w:pPr>
        <w:ind w:left="-142"/>
        <w:rPr>
          <w:rFonts w:ascii="Arial" w:hAnsi="Arial" w:cs="Arial"/>
          <w:sz w:val="22"/>
          <w:szCs w:val="22"/>
        </w:rPr>
      </w:pPr>
      <w:r w:rsidRPr="00136C82">
        <w:rPr>
          <w:rFonts w:ascii="Arial" w:hAnsi="Arial" w:cs="Arial"/>
          <w:sz w:val="22"/>
          <w:szCs w:val="22"/>
        </w:rPr>
        <w:t>Primjena norme EN 12464-2:20</w:t>
      </w:r>
      <w:r>
        <w:rPr>
          <w:rFonts w:ascii="Arial" w:hAnsi="Arial" w:cs="Arial"/>
          <w:sz w:val="22"/>
          <w:szCs w:val="22"/>
        </w:rPr>
        <w:t>14</w:t>
      </w:r>
      <w:r w:rsidRPr="00136C82">
        <w:rPr>
          <w:rFonts w:ascii="Arial" w:hAnsi="Arial" w:cs="Arial"/>
          <w:sz w:val="22"/>
          <w:szCs w:val="22"/>
        </w:rPr>
        <w:t xml:space="preserve"> (E) </w:t>
      </w:r>
      <w:r w:rsidRPr="00517F76">
        <w:rPr>
          <w:rFonts w:ascii="Arial" w:hAnsi="Arial" w:cs="Arial"/>
          <w:sz w:val="22"/>
          <w:szCs w:val="22"/>
        </w:rPr>
        <w:t>–</w:t>
      </w:r>
      <w:r w:rsidRPr="00136C82">
        <w:rPr>
          <w:rFonts w:ascii="Arial" w:hAnsi="Arial" w:cs="Arial"/>
          <w:sz w:val="22"/>
          <w:szCs w:val="22"/>
        </w:rPr>
        <w:t xml:space="preserve"> </w:t>
      </w:r>
      <w:r>
        <w:rPr>
          <w:rFonts w:ascii="Arial" w:hAnsi="Arial" w:cs="Arial"/>
          <w:sz w:val="22"/>
          <w:szCs w:val="22"/>
        </w:rPr>
        <w:t>5.1.3. P</w:t>
      </w:r>
      <w:r w:rsidRPr="00517F76">
        <w:rPr>
          <w:rFonts w:ascii="Arial" w:hAnsi="Arial" w:cs="Arial"/>
          <w:sz w:val="22"/>
          <w:szCs w:val="22"/>
        </w:rPr>
        <w:t>romet</w:t>
      </w:r>
      <w:r>
        <w:rPr>
          <w:rFonts w:ascii="Arial" w:hAnsi="Arial" w:cs="Arial"/>
          <w:sz w:val="22"/>
          <w:szCs w:val="22"/>
        </w:rPr>
        <w:t xml:space="preserve"> vozila maksimalna brzina do 40 km/h</w:t>
      </w:r>
      <w:r w:rsidRPr="00136C82">
        <w:rPr>
          <w:rFonts w:ascii="Arial" w:hAnsi="Arial" w:cs="Arial"/>
          <w:sz w:val="22"/>
          <w:szCs w:val="22"/>
        </w:rPr>
        <w:t xml:space="preserve">: </w:t>
      </w:r>
    </w:p>
    <w:p w:rsidR="00366B80" w:rsidRDefault="00366B80" w:rsidP="00366B80">
      <w:pPr>
        <w:ind w:left="-142"/>
        <w:rPr>
          <w:rFonts w:ascii="Arial" w:hAnsi="Arial" w:cs="Arial"/>
          <w:sz w:val="22"/>
          <w:szCs w:val="22"/>
        </w:rPr>
      </w:pPr>
    </w:p>
    <w:p w:rsidR="00366B80" w:rsidRPr="00136C82" w:rsidRDefault="00366B80" w:rsidP="00366B80">
      <w:pPr>
        <w:ind w:left="-142"/>
        <w:rPr>
          <w:rFonts w:ascii="Arial" w:hAnsi="Arial" w:cs="Arial"/>
          <w:sz w:val="22"/>
          <w:szCs w:val="22"/>
        </w:rPr>
      </w:pPr>
      <w:r w:rsidRPr="00136C82">
        <w:rPr>
          <w:rFonts w:ascii="Arial" w:hAnsi="Arial" w:cs="Arial"/>
          <w:sz w:val="22"/>
          <w:szCs w:val="22"/>
        </w:rPr>
        <w:t>E</w:t>
      </w:r>
      <w:r w:rsidRPr="00F233A8">
        <w:rPr>
          <w:rFonts w:ascii="Arial" w:hAnsi="Arial" w:cs="Arial"/>
          <w:sz w:val="22"/>
          <w:szCs w:val="22"/>
        </w:rPr>
        <w:t>m</w:t>
      </w:r>
      <w:r w:rsidRPr="00136C82">
        <w:rPr>
          <w:rFonts w:ascii="Arial" w:hAnsi="Arial" w:cs="Arial"/>
          <w:sz w:val="22"/>
          <w:szCs w:val="22"/>
        </w:rPr>
        <w:t>=</w:t>
      </w:r>
      <w:r>
        <w:rPr>
          <w:rFonts w:ascii="Arial" w:hAnsi="Arial" w:cs="Arial"/>
          <w:sz w:val="22"/>
          <w:szCs w:val="22"/>
        </w:rPr>
        <w:t>2</w:t>
      </w:r>
      <w:r w:rsidRPr="00517F76">
        <w:rPr>
          <w:rFonts w:ascii="Arial" w:hAnsi="Arial" w:cs="Arial"/>
          <w:sz w:val="22"/>
          <w:szCs w:val="22"/>
        </w:rPr>
        <w:t>0</w:t>
      </w:r>
      <w:r w:rsidRPr="00136C82">
        <w:rPr>
          <w:rFonts w:ascii="Arial" w:hAnsi="Arial" w:cs="Arial"/>
          <w:sz w:val="22"/>
          <w:szCs w:val="22"/>
        </w:rPr>
        <w:t xml:space="preserve"> lx; U</w:t>
      </w:r>
      <w:r w:rsidRPr="00F233A8">
        <w:rPr>
          <w:rFonts w:ascii="Arial" w:hAnsi="Arial" w:cs="Arial"/>
          <w:sz w:val="22"/>
          <w:szCs w:val="22"/>
        </w:rPr>
        <w:t>0</w:t>
      </w:r>
      <w:r w:rsidRPr="00136C82">
        <w:rPr>
          <w:rFonts w:ascii="Arial" w:hAnsi="Arial" w:cs="Arial"/>
          <w:sz w:val="22"/>
          <w:szCs w:val="22"/>
        </w:rPr>
        <w:t>=0,</w:t>
      </w:r>
      <w:r>
        <w:rPr>
          <w:rFonts w:ascii="Arial" w:hAnsi="Arial" w:cs="Arial"/>
          <w:sz w:val="22"/>
          <w:szCs w:val="22"/>
        </w:rPr>
        <w:t>40</w:t>
      </w:r>
      <w:r w:rsidRPr="00136C82">
        <w:rPr>
          <w:rFonts w:ascii="Arial" w:hAnsi="Arial" w:cs="Arial"/>
          <w:sz w:val="22"/>
          <w:szCs w:val="22"/>
        </w:rPr>
        <w:t>; GR</w:t>
      </w:r>
      <w:r w:rsidRPr="00F233A8">
        <w:rPr>
          <w:rFonts w:ascii="Arial" w:hAnsi="Arial" w:cs="Arial"/>
          <w:sz w:val="22"/>
          <w:szCs w:val="22"/>
        </w:rPr>
        <w:t>L</w:t>
      </w:r>
      <w:r w:rsidRPr="00136C82">
        <w:rPr>
          <w:rFonts w:ascii="Arial" w:hAnsi="Arial" w:cs="Arial"/>
          <w:sz w:val="22"/>
          <w:szCs w:val="22"/>
        </w:rPr>
        <w:t>=</w:t>
      </w:r>
      <w:r>
        <w:rPr>
          <w:rFonts w:ascii="Arial" w:hAnsi="Arial" w:cs="Arial"/>
          <w:sz w:val="22"/>
          <w:szCs w:val="22"/>
        </w:rPr>
        <w:t>45</w:t>
      </w:r>
      <w:r w:rsidRPr="00136C82">
        <w:rPr>
          <w:rFonts w:ascii="Arial" w:hAnsi="Arial" w:cs="Arial"/>
          <w:sz w:val="22"/>
          <w:szCs w:val="22"/>
        </w:rPr>
        <w:t>; R</w:t>
      </w:r>
      <w:r w:rsidRPr="00F233A8">
        <w:rPr>
          <w:rFonts w:ascii="Arial" w:hAnsi="Arial" w:cs="Arial"/>
          <w:sz w:val="22"/>
          <w:szCs w:val="22"/>
        </w:rPr>
        <w:t>a</w:t>
      </w:r>
      <w:r w:rsidRPr="00136C82">
        <w:rPr>
          <w:rFonts w:ascii="Arial" w:hAnsi="Arial" w:cs="Arial"/>
          <w:sz w:val="22"/>
          <w:szCs w:val="22"/>
        </w:rPr>
        <w:t>=20.</w:t>
      </w:r>
    </w:p>
    <w:p w:rsidR="00366B80" w:rsidRDefault="00366B80" w:rsidP="00366B80">
      <w:pPr>
        <w:ind w:left="-142"/>
        <w:rPr>
          <w:rFonts w:ascii="Arial" w:hAnsi="Arial" w:cs="Arial"/>
          <w:sz w:val="22"/>
          <w:szCs w:val="22"/>
        </w:rPr>
      </w:pPr>
    </w:p>
    <w:p w:rsidR="00366B80" w:rsidRDefault="00366B80" w:rsidP="00366B80">
      <w:pPr>
        <w:ind w:left="-142"/>
        <w:rPr>
          <w:rFonts w:ascii="Arial" w:hAnsi="Arial" w:cs="Arial"/>
          <w:sz w:val="22"/>
          <w:szCs w:val="22"/>
        </w:rPr>
      </w:pPr>
    </w:p>
    <w:p w:rsidR="00366B80" w:rsidRPr="00136C82" w:rsidRDefault="00366B80" w:rsidP="00366B80">
      <w:pPr>
        <w:ind w:left="-142"/>
        <w:rPr>
          <w:rFonts w:ascii="Arial" w:hAnsi="Arial" w:cs="Arial"/>
          <w:b/>
          <w:sz w:val="22"/>
          <w:szCs w:val="22"/>
        </w:rPr>
      </w:pPr>
      <w:r w:rsidRPr="00136C82">
        <w:rPr>
          <w:rFonts w:ascii="Arial" w:hAnsi="Arial" w:cs="Arial"/>
          <w:b/>
          <w:sz w:val="22"/>
          <w:szCs w:val="22"/>
        </w:rPr>
        <w:t xml:space="preserve">P7 </w:t>
      </w:r>
      <w:r w:rsidRPr="00F233A8">
        <w:rPr>
          <w:rFonts w:ascii="Arial" w:hAnsi="Arial" w:cs="Arial"/>
          <w:b/>
          <w:sz w:val="22"/>
          <w:szCs w:val="22"/>
        </w:rPr>
        <w:t xml:space="preserve">– Područje prometnice uz sjevernu ogradu lučkog područja površine  </w:t>
      </w:r>
      <w:r>
        <w:rPr>
          <w:rFonts w:ascii="Arial" w:hAnsi="Arial" w:cs="Arial"/>
          <w:b/>
          <w:sz w:val="22"/>
          <w:szCs w:val="22"/>
        </w:rPr>
        <w:t>1</w:t>
      </w:r>
      <w:r w:rsidRPr="00F233A8">
        <w:rPr>
          <w:rFonts w:ascii="Arial" w:hAnsi="Arial" w:cs="Arial"/>
          <w:b/>
          <w:sz w:val="22"/>
          <w:szCs w:val="22"/>
        </w:rPr>
        <w:t>.</w:t>
      </w:r>
      <w:r>
        <w:rPr>
          <w:rFonts w:ascii="Arial" w:hAnsi="Arial" w:cs="Arial"/>
          <w:b/>
          <w:sz w:val="22"/>
          <w:szCs w:val="22"/>
        </w:rPr>
        <w:t>700</w:t>
      </w:r>
      <w:r w:rsidRPr="00F233A8">
        <w:rPr>
          <w:rFonts w:ascii="Arial" w:hAnsi="Arial" w:cs="Arial"/>
          <w:b/>
          <w:sz w:val="22"/>
          <w:szCs w:val="22"/>
        </w:rPr>
        <w:t xml:space="preserve"> m2</w:t>
      </w:r>
    </w:p>
    <w:p w:rsidR="00366B80" w:rsidRDefault="00366B80" w:rsidP="00366B80">
      <w:pPr>
        <w:ind w:left="-142"/>
        <w:rPr>
          <w:rFonts w:ascii="Arial" w:hAnsi="Arial" w:cs="Arial"/>
          <w:sz w:val="22"/>
          <w:szCs w:val="22"/>
        </w:rPr>
      </w:pPr>
    </w:p>
    <w:p w:rsidR="00366B80" w:rsidRDefault="00366B80" w:rsidP="00366B80">
      <w:pPr>
        <w:ind w:left="-142"/>
        <w:rPr>
          <w:rFonts w:ascii="Arial" w:hAnsi="Arial" w:cs="Arial"/>
          <w:sz w:val="22"/>
          <w:szCs w:val="22"/>
        </w:rPr>
      </w:pPr>
      <w:r w:rsidRPr="00136C82">
        <w:rPr>
          <w:rFonts w:ascii="Arial" w:hAnsi="Arial" w:cs="Arial"/>
          <w:sz w:val="22"/>
          <w:szCs w:val="22"/>
        </w:rPr>
        <w:t>Primjena norme EN 12464-2:20</w:t>
      </w:r>
      <w:r>
        <w:rPr>
          <w:rFonts w:ascii="Arial" w:hAnsi="Arial" w:cs="Arial"/>
          <w:sz w:val="22"/>
          <w:szCs w:val="22"/>
        </w:rPr>
        <w:t>14</w:t>
      </w:r>
      <w:r w:rsidRPr="00136C82">
        <w:rPr>
          <w:rFonts w:ascii="Arial" w:hAnsi="Arial" w:cs="Arial"/>
          <w:sz w:val="22"/>
          <w:szCs w:val="22"/>
        </w:rPr>
        <w:t xml:space="preserve"> (E) </w:t>
      </w:r>
      <w:r w:rsidRPr="00517F76">
        <w:rPr>
          <w:rFonts w:ascii="Arial" w:hAnsi="Arial" w:cs="Arial"/>
          <w:sz w:val="22"/>
          <w:szCs w:val="22"/>
        </w:rPr>
        <w:t>–</w:t>
      </w:r>
      <w:r w:rsidRPr="00136C82">
        <w:rPr>
          <w:rFonts w:ascii="Arial" w:hAnsi="Arial" w:cs="Arial"/>
          <w:sz w:val="22"/>
          <w:szCs w:val="22"/>
        </w:rPr>
        <w:t xml:space="preserve"> </w:t>
      </w:r>
      <w:r>
        <w:rPr>
          <w:rFonts w:ascii="Arial" w:hAnsi="Arial" w:cs="Arial"/>
          <w:sz w:val="22"/>
          <w:szCs w:val="22"/>
        </w:rPr>
        <w:t>5.1.3. P</w:t>
      </w:r>
      <w:r w:rsidRPr="00517F76">
        <w:rPr>
          <w:rFonts w:ascii="Arial" w:hAnsi="Arial" w:cs="Arial"/>
          <w:sz w:val="22"/>
          <w:szCs w:val="22"/>
        </w:rPr>
        <w:t>romet</w:t>
      </w:r>
      <w:r>
        <w:rPr>
          <w:rFonts w:ascii="Arial" w:hAnsi="Arial" w:cs="Arial"/>
          <w:sz w:val="22"/>
          <w:szCs w:val="22"/>
        </w:rPr>
        <w:t xml:space="preserve"> vozila maksimalna brzina do 40 km/h</w:t>
      </w:r>
      <w:r w:rsidRPr="00136C82">
        <w:rPr>
          <w:rFonts w:ascii="Arial" w:hAnsi="Arial" w:cs="Arial"/>
          <w:sz w:val="22"/>
          <w:szCs w:val="22"/>
        </w:rPr>
        <w:t xml:space="preserve">: </w:t>
      </w:r>
    </w:p>
    <w:p w:rsidR="00366B80" w:rsidRDefault="00366B80" w:rsidP="00366B80">
      <w:pPr>
        <w:ind w:left="-142"/>
        <w:rPr>
          <w:rFonts w:ascii="Arial" w:hAnsi="Arial" w:cs="Arial"/>
          <w:sz w:val="22"/>
          <w:szCs w:val="22"/>
        </w:rPr>
      </w:pPr>
    </w:p>
    <w:p w:rsidR="00366B80" w:rsidRPr="00136C82" w:rsidRDefault="00366B80" w:rsidP="00366B80">
      <w:pPr>
        <w:ind w:left="-142"/>
        <w:rPr>
          <w:rFonts w:ascii="Arial" w:hAnsi="Arial" w:cs="Arial"/>
          <w:sz w:val="22"/>
          <w:szCs w:val="22"/>
        </w:rPr>
      </w:pPr>
      <w:r w:rsidRPr="00136C82">
        <w:rPr>
          <w:rFonts w:ascii="Arial" w:hAnsi="Arial" w:cs="Arial"/>
          <w:sz w:val="22"/>
          <w:szCs w:val="22"/>
        </w:rPr>
        <w:t>E</w:t>
      </w:r>
      <w:r w:rsidRPr="00F233A8">
        <w:rPr>
          <w:rFonts w:ascii="Arial" w:hAnsi="Arial" w:cs="Arial"/>
          <w:sz w:val="22"/>
          <w:szCs w:val="22"/>
        </w:rPr>
        <w:t>m</w:t>
      </w:r>
      <w:r w:rsidRPr="00136C82">
        <w:rPr>
          <w:rFonts w:ascii="Arial" w:hAnsi="Arial" w:cs="Arial"/>
          <w:sz w:val="22"/>
          <w:szCs w:val="22"/>
        </w:rPr>
        <w:t>=</w:t>
      </w:r>
      <w:r>
        <w:rPr>
          <w:rFonts w:ascii="Arial" w:hAnsi="Arial" w:cs="Arial"/>
          <w:sz w:val="22"/>
          <w:szCs w:val="22"/>
        </w:rPr>
        <w:t>2</w:t>
      </w:r>
      <w:r w:rsidRPr="00517F76">
        <w:rPr>
          <w:rFonts w:ascii="Arial" w:hAnsi="Arial" w:cs="Arial"/>
          <w:sz w:val="22"/>
          <w:szCs w:val="22"/>
        </w:rPr>
        <w:t>0</w:t>
      </w:r>
      <w:r w:rsidRPr="00136C82">
        <w:rPr>
          <w:rFonts w:ascii="Arial" w:hAnsi="Arial" w:cs="Arial"/>
          <w:sz w:val="22"/>
          <w:szCs w:val="22"/>
        </w:rPr>
        <w:t xml:space="preserve"> lx; U</w:t>
      </w:r>
      <w:r w:rsidRPr="00F233A8">
        <w:rPr>
          <w:rFonts w:ascii="Arial" w:hAnsi="Arial" w:cs="Arial"/>
          <w:sz w:val="22"/>
          <w:szCs w:val="22"/>
        </w:rPr>
        <w:t>0</w:t>
      </w:r>
      <w:r w:rsidRPr="00136C82">
        <w:rPr>
          <w:rFonts w:ascii="Arial" w:hAnsi="Arial" w:cs="Arial"/>
          <w:sz w:val="22"/>
          <w:szCs w:val="22"/>
        </w:rPr>
        <w:t>=0,</w:t>
      </w:r>
      <w:r>
        <w:rPr>
          <w:rFonts w:ascii="Arial" w:hAnsi="Arial" w:cs="Arial"/>
          <w:sz w:val="22"/>
          <w:szCs w:val="22"/>
        </w:rPr>
        <w:t>40</w:t>
      </w:r>
      <w:r w:rsidRPr="00136C82">
        <w:rPr>
          <w:rFonts w:ascii="Arial" w:hAnsi="Arial" w:cs="Arial"/>
          <w:sz w:val="22"/>
          <w:szCs w:val="22"/>
        </w:rPr>
        <w:t>; GR</w:t>
      </w:r>
      <w:r w:rsidRPr="00F233A8">
        <w:rPr>
          <w:rFonts w:ascii="Arial" w:hAnsi="Arial" w:cs="Arial"/>
          <w:sz w:val="22"/>
          <w:szCs w:val="22"/>
        </w:rPr>
        <w:t>L</w:t>
      </w:r>
      <w:r w:rsidRPr="00136C82">
        <w:rPr>
          <w:rFonts w:ascii="Arial" w:hAnsi="Arial" w:cs="Arial"/>
          <w:sz w:val="22"/>
          <w:szCs w:val="22"/>
        </w:rPr>
        <w:t>=</w:t>
      </w:r>
      <w:r>
        <w:rPr>
          <w:rFonts w:ascii="Arial" w:hAnsi="Arial" w:cs="Arial"/>
          <w:sz w:val="22"/>
          <w:szCs w:val="22"/>
        </w:rPr>
        <w:t>45</w:t>
      </w:r>
      <w:r w:rsidRPr="00136C82">
        <w:rPr>
          <w:rFonts w:ascii="Arial" w:hAnsi="Arial" w:cs="Arial"/>
          <w:sz w:val="22"/>
          <w:szCs w:val="22"/>
        </w:rPr>
        <w:t>; R</w:t>
      </w:r>
      <w:r w:rsidRPr="00F233A8">
        <w:rPr>
          <w:rFonts w:ascii="Arial" w:hAnsi="Arial" w:cs="Arial"/>
          <w:sz w:val="22"/>
          <w:szCs w:val="22"/>
        </w:rPr>
        <w:t>a</w:t>
      </w:r>
      <w:r w:rsidRPr="00136C82">
        <w:rPr>
          <w:rFonts w:ascii="Arial" w:hAnsi="Arial" w:cs="Arial"/>
          <w:sz w:val="22"/>
          <w:szCs w:val="22"/>
        </w:rPr>
        <w:t>=20.</w:t>
      </w:r>
    </w:p>
    <w:p w:rsidR="00366B80" w:rsidRDefault="00366B80" w:rsidP="00366B80">
      <w:pPr>
        <w:ind w:left="-142" w:hanging="12"/>
        <w:rPr>
          <w:rFonts w:ascii="Arial" w:hAnsi="Arial" w:cs="Arial"/>
          <w:b/>
          <w:sz w:val="22"/>
          <w:szCs w:val="22"/>
        </w:rPr>
      </w:pPr>
    </w:p>
    <w:p w:rsidR="00366B80" w:rsidRDefault="00366B80" w:rsidP="00366B80">
      <w:pPr>
        <w:ind w:left="-142" w:hanging="12"/>
        <w:rPr>
          <w:rFonts w:ascii="Arial" w:hAnsi="Arial" w:cs="Arial"/>
          <w:b/>
          <w:sz w:val="22"/>
          <w:szCs w:val="22"/>
        </w:rPr>
      </w:pPr>
    </w:p>
    <w:p w:rsidR="00366B80" w:rsidRPr="00F233A8" w:rsidRDefault="00366B80" w:rsidP="00366B80">
      <w:pPr>
        <w:ind w:left="-142"/>
        <w:rPr>
          <w:rFonts w:ascii="Arial" w:hAnsi="Arial" w:cs="Arial"/>
          <w:b/>
          <w:sz w:val="22"/>
          <w:szCs w:val="22"/>
        </w:rPr>
      </w:pPr>
      <w:r w:rsidRPr="00136C82">
        <w:rPr>
          <w:rFonts w:ascii="Arial" w:hAnsi="Arial" w:cs="Arial"/>
          <w:b/>
          <w:sz w:val="22"/>
          <w:szCs w:val="22"/>
        </w:rPr>
        <w:t xml:space="preserve">P8 </w:t>
      </w:r>
      <w:r w:rsidRPr="00F233A8">
        <w:rPr>
          <w:rFonts w:ascii="Arial" w:hAnsi="Arial" w:cs="Arial"/>
          <w:b/>
          <w:sz w:val="22"/>
          <w:szCs w:val="22"/>
        </w:rPr>
        <w:t xml:space="preserve">– Područje pristupne prometnice s parkiralištem S-Z od zgrade „Lučka uprava“  </w:t>
      </w:r>
    </w:p>
    <w:p w:rsidR="00366B80" w:rsidRPr="00F233A8" w:rsidRDefault="00366B80" w:rsidP="00366B80">
      <w:pPr>
        <w:ind w:left="12" w:hanging="12"/>
        <w:rPr>
          <w:rFonts w:ascii="Arial" w:hAnsi="Arial" w:cs="Arial"/>
          <w:b/>
        </w:rPr>
      </w:pPr>
      <w:r w:rsidRPr="00F233A8">
        <w:rPr>
          <w:rFonts w:ascii="Arial" w:hAnsi="Arial" w:cs="Arial"/>
          <w:b/>
          <w:sz w:val="22"/>
          <w:szCs w:val="22"/>
        </w:rPr>
        <w:t xml:space="preserve">      površine 4.717 m2</w:t>
      </w:r>
    </w:p>
    <w:p w:rsidR="00366B80" w:rsidRDefault="00366B80" w:rsidP="00366B80">
      <w:pPr>
        <w:ind w:left="567" w:hanging="12"/>
        <w:rPr>
          <w:rFonts w:ascii="Arial" w:hAnsi="Arial" w:cs="Arial"/>
        </w:rPr>
      </w:pPr>
    </w:p>
    <w:p w:rsidR="00366B80" w:rsidRDefault="00366B80" w:rsidP="00366B80">
      <w:pPr>
        <w:ind w:left="-142"/>
        <w:rPr>
          <w:rFonts w:ascii="Arial" w:hAnsi="Arial" w:cs="Arial"/>
          <w:sz w:val="22"/>
          <w:szCs w:val="22"/>
        </w:rPr>
      </w:pPr>
      <w:r w:rsidRPr="00136C82">
        <w:rPr>
          <w:rFonts w:ascii="Arial" w:hAnsi="Arial" w:cs="Arial"/>
          <w:sz w:val="22"/>
          <w:szCs w:val="22"/>
        </w:rPr>
        <w:t xml:space="preserve">Primjena norme EN 12464-2:2007 (E) </w:t>
      </w:r>
      <w:r w:rsidRPr="00517F76">
        <w:rPr>
          <w:rFonts w:ascii="Arial" w:hAnsi="Arial" w:cs="Arial"/>
          <w:sz w:val="22"/>
          <w:szCs w:val="22"/>
        </w:rPr>
        <w:t>–</w:t>
      </w:r>
      <w:r w:rsidRPr="00136C82">
        <w:rPr>
          <w:rFonts w:ascii="Arial" w:hAnsi="Arial" w:cs="Arial"/>
          <w:sz w:val="22"/>
          <w:szCs w:val="22"/>
        </w:rPr>
        <w:t xml:space="preserve"> </w:t>
      </w:r>
      <w:r>
        <w:rPr>
          <w:rFonts w:ascii="Arial" w:hAnsi="Arial" w:cs="Arial"/>
          <w:sz w:val="22"/>
          <w:szCs w:val="22"/>
        </w:rPr>
        <w:t>5.1.3. P</w:t>
      </w:r>
      <w:r w:rsidRPr="00517F76">
        <w:rPr>
          <w:rFonts w:ascii="Arial" w:hAnsi="Arial" w:cs="Arial"/>
          <w:sz w:val="22"/>
          <w:szCs w:val="22"/>
        </w:rPr>
        <w:t>romet</w:t>
      </w:r>
      <w:r>
        <w:rPr>
          <w:rFonts w:ascii="Arial" w:hAnsi="Arial" w:cs="Arial"/>
          <w:sz w:val="22"/>
          <w:szCs w:val="22"/>
        </w:rPr>
        <w:t xml:space="preserve"> vozila maksimalna brzina do 40 km/h</w:t>
      </w:r>
      <w:r w:rsidRPr="00136C82">
        <w:rPr>
          <w:rFonts w:ascii="Arial" w:hAnsi="Arial" w:cs="Arial"/>
          <w:sz w:val="22"/>
          <w:szCs w:val="22"/>
        </w:rPr>
        <w:t xml:space="preserve">: </w:t>
      </w:r>
    </w:p>
    <w:p w:rsidR="00366B80" w:rsidRDefault="00366B80" w:rsidP="00366B80">
      <w:pPr>
        <w:ind w:left="-142"/>
        <w:rPr>
          <w:rFonts w:ascii="Arial" w:hAnsi="Arial" w:cs="Arial"/>
          <w:sz w:val="22"/>
          <w:szCs w:val="22"/>
        </w:rPr>
      </w:pPr>
    </w:p>
    <w:p w:rsidR="00366B80" w:rsidRPr="00136C82" w:rsidRDefault="00366B80" w:rsidP="00366B80">
      <w:pPr>
        <w:ind w:left="-142"/>
        <w:rPr>
          <w:rFonts w:ascii="Arial" w:hAnsi="Arial" w:cs="Arial"/>
          <w:sz w:val="22"/>
          <w:szCs w:val="22"/>
        </w:rPr>
      </w:pPr>
      <w:r w:rsidRPr="00136C82">
        <w:rPr>
          <w:rFonts w:ascii="Arial" w:hAnsi="Arial" w:cs="Arial"/>
          <w:sz w:val="22"/>
          <w:szCs w:val="22"/>
        </w:rPr>
        <w:t>E</w:t>
      </w:r>
      <w:r w:rsidRPr="00F233A8">
        <w:rPr>
          <w:rFonts w:ascii="Arial" w:hAnsi="Arial" w:cs="Arial"/>
          <w:sz w:val="22"/>
          <w:szCs w:val="22"/>
        </w:rPr>
        <w:t>m</w:t>
      </w:r>
      <w:r w:rsidRPr="00136C82">
        <w:rPr>
          <w:rFonts w:ascii="Arial" w:hAnsi="Arial" w:cs="Arial"/>
          <w:sz w:val="22"/>
          <w:szCs w:val="22"/>
        </w:rPr>
        <w:t>=</w:t>
      </w:r>
      <w:r>
        <w:rPr>
          <w:rFonts w:ascii="Arial" w:hAnsi="Arial" w:cs="Arial"/>
          <w:sz w:val="22"/>
          <w:szCs w:val="22"/>
        </w:rPr>
        <w:t>2</w:t>
      </w:r>
      <w:r w:rsidRPr="00517F76">
        <w:rPr>
          <w:rFonts w:ascii="Arial" w:hAnsi="Arial" w:cs="Arial"/>
          <w:sz w:val="22"/>
          <w:szCs w:val="22"/>
        </w:rPr>
        <w:t>0</w:t>
      </w:r>
      <w:r w:rsidRPr="00136C82">
        <w:rPr>
          <w:rFonts w:ascii="Arial" w:hAnsi="Arial" w:cs="Arial"/>
          <w:sz w:val="22"/>
          <w:szCs w:val="22"/>
        </w:rPr>
        <w:t xml:space="preserve"> lx; U</w:t>
      </w:r>
      <w:r w:rsidRPr="00F233A8">
        <w:rPr>
          <w:rFonts w:ascii="Arial" w:hAnsi="Arial" w:cs="Arial"/>
          <w:sz w:val="22"/>
          <w:szCs w:val="22"/>
        </w:rPr>
        <w:t>0</w:t>
      </w:r>
      <w:r w:rsidRPr="00136C82">
        <w:rPr>
          <w:rFonts w:ascii="Arial" w:hAnsi="Arial" w:cs="Arial"/>
          <w:sz w:val="22"/>
          <w:szCs w:val="22"/>
        </w:rPr>
        <w:t>=0,</w:t>
      </w:r>
      <w:r>
        <w:rPr>
          <w:rFonts w:ascii="Arial" w:hAnsi="Arial" w:cs="Arial"/>
          <w:sz w:val="22"/>
          <w:szCs w:val="22"/>
        </w:rPr>
        <w:t>40</w:t>
      </w:r>
      <w:r w:rsidRPr="00136C82">
        <w:rPr>
          <w:rFonts w:ascii="Arial" w:hAnsi="Arial" w:cs="Arial"/>
          <w:sz w:val="22"/>
          <w:szCs w:val="22"/>
        </w:rPr>
        <w:t>; GR</w:t>
      </w:r>
      <w:r w:rsidRPr="00F233A8">
        <w:rPr>
          <w:rFonts w:ascii="Arial" w:hAnsi="Arial" w:cs="Arial"/>
          <w:sz w:val="22"/>
          <w:szCs w:val="22"/>
        </w:rPr>
        <w:t>L</w:t>
      </w:r>
      <w:r w:rsidRPr="00136C82">
        <w:rPr>
          <w:rFonts w:ascii="Arial" w:hAnsi="Arial" w:cs="Arial"/>
          <w:sz w:val="22"/>
          <w:szCs w:val="22"/>
        </w:rPr>
        <w:t>=</w:t>
      </w:r>
      <w:r>
        <w:rPr>
          <w:rFonts w:ascii="Arial" w:hAnsi="Arial" w:cs="Arial"/>
          <w:sz w:val="22"/>
          <w:szCs w:val="22"/>
        </w:rPr>
        <w:t>45</w:t>
      </w:r>
      <w:r w:rsidRPr="00136C82">
        <w:rPr>
          <w:rFonts w:ascii="Arial" w:hAnsi="Arial" w:cs="Arial"/>
          <w:sz w:val="22"/>
          <w:szCs w:val="22"/>
        </w:rPr>
        <w:t>; R</w:t>
      </w:r>
      <w:r w:rsidRPr="00F233A8">
        <w:rPr>
          <w:rFonts w:ascii="Arial" w:hAnsi="Arial" w:cs="Arial"/>
          <w:sz w:val="22"/>
          <w:szCs w:val="22"/>
        </w:rPr>
        <w:t>a</w:t>
      </w:r>
      <w:r w:rsidRPr="00136C82">
        <w:rPr>
          <w:rFonts w:ascii="Arial" w:hAnsi="Arial" w:cs="Arial"/>
          <w:sz w:val="22"/>
          <w:szCs w:val="22"/>
        </w:rPr>
        <w:t>=20.</w:t>
      </w:r>
    </w:p>
    <w:p w:rsidR="00366B80" w:rsidRDefault="00366B80" w:rsidP="00366B80">
      <w:pPr>
        <w:ind w:hanging="12"/>
        <w:rPr>
          <w:rFonts w:ascii="Arial" w:hAnsi="Arial" w:cs="Arial"/>
          <w:sz w:val="22"/>
          <w:szCs w:val="22"/>
        </w:rPr>
      </w:pPr>
    </w:p>
    <w:p w:rsidR="00366B80" w:rsidRPr="003F74B7" w:rsidRDefault="00366B80" w:rsidP="00366B80">
      <w:pPr>
        <w:ind w:left="-142"/>
        <w:rPr>
          <w:rFonts w:ascii="Arial" w:hAnsi="Arial" w:cs="Arial"/>
          <w:b/>
          <w:sz w:val="22"/>
          <w:szCs w:val="22"/>
        </w:rPr>
      </w:pPr>
      <w:r w:rsidRPr="00136C82">
        <w:rPr>
          <w:rFonts w:ascii="Arial" w:hAnsi="Arial" w:cs="Arial"/>
          <w:b/>
          <w:sz w:val="22"/>
          <w:szCs w:val="22"/>
        </w:rPr>
        <w:t xml:space="preserve">P9 </w:t>
      </w:r>
      <w:r w:rsidRPr="00F233A8">
        <w:rPr>
          <w:rFonts w:ascii="Arial" w:hAnsi="Arial" w:cs="Arial"/>
          <w:b/>
          <w:sz w:val="22"/>
          <w:szCs w:val="22"/>
        </w:rPr>
        <w:t>– Područje parkirališta S-I od zgrade Lučka uprava površine 2.966 m2</w:t>
      </w:r>
    </w:p>
    <w:p w:rsidR="00366B80" w:rsidRDefault="00366B80" w:rsidP="00366B80">
      <w:pPr>
        <w:ind w:left="567" w:hanging="12"/>
        <w:rPr>
          <w:rFonts w:ascii="Arial" w:hAnsi="Arial" w:cs="Arial"/>
        </w:rPr>
      </w:pPr>
    </w:p>
    <w:p w:rsidR="00366B80" w:rsidRDefault="00366B80" w:rsidP="00366B80">
      <w:pPr>
        <w:ind w:left="-142"/>
        <w:rPr>
          <w:rFonts w:ascii="Arial" w:hAnsi="Arial" w:cs="Arial"/>
          <w:sz w:val="22"/>
          <w:szCs w:val="22"/>
        </w:rPr>
      </w:pPr>
      <w:r w:rsidRPr="00136C82">
        <w:rPr>
          <w:rFonts w:ascii="Arial" w:hAnsi="Arial" w:cs="Arial"/>
          <w:sz w:val="22"/>
          <w:szCs w:val="22"/>
        </w:rPr>
        <w:t xml:space="preserve">Primjena norme EN 12464-2:2007 (E) </w:t>
      </w:r>
      <w:r w:rsidRPr="00517F76">
        <w:rPr>
          <w:rFonts w:ascii="Arial" w:hAnsi="Arial" w:cs="Arial"/>
          <w:sz w:val="22"/>
          <w:szCs w:val="22"/>
        </w:rPr>
        <w:t>–</w:t>
      </w:r>
      <w:r w:rsidRPr="00136C82">
        <w:rPr>
          <w:rFonts w:ascii="Arial" w:hAnsi="Arial" w:cs="Arial"/>
          <w:sz w:val="22"/>
          <w:szCs w:val="22"/>
        </w:rPr>
        <w:t xml:space="preserve"> </w:t>
      </w:r>
      <w:r>
        <w:rPr>
          <w:rFonts w:ascii="Arial" w:hAnsi="Arial" w:cs="Arial"/>
          <w:sz w:val="22"/>
          <w:szCs w:val="22"/>
        </w:rPr>
        <w:t>5.1.3. P</w:t>
      </w:r>
      <w:r w:rsidRPr="00517F76">
        <w:rPr>
          <w:rFonts w:ascii="Arial" w:hAnsi="Arial" w:cs="Arial"/>
          <w:sz w:val="22"/>
          <w:szCs w:val="22"/>
        </w:rPr>
        <w:t>romet</w:t>
      </w:r>
      <w:r>
        <w:rPr>
          <w:rFonts w:ascii="Arial" w:hAnsi="Arial" w:cs="Arial"/>
          <w:sz w:val="22"/>
          <w:szCs w:val="22"/>
        </w:rPr>
        <w:t xml:space="preserve"> vozila maksimalna brzina do 40 km/h</w:t>
      </w:r>
      <w:r w:rsidRPr="00136C82">
        <w:rPr>
          <w:rFonts w:ascii="Arial" w:hAnsi="Arial" w:cs="Arial"/>
          <w:sz w:val="22"/>
          <w:szCs w:val="22"/>
        </w:rPr>
        <w:t xml:space="preserve">: </w:t>
      </w:r>
    </w:p>
    <w:p w:rsidR="00366B80" w:rsidRDefault="00366B80" w:rsidP="00366B80">
      <w:pPr>
        <w:ind w:left="-142"/>
        <w:rPr>
          <w:rFonts w:ascii="Arial" w:hAnsi="Arial" w:cs="Arial"/>
          <w:sz w:val="22"/>
          <w:szCs w:val="22"/>
        </w:rPr>
      </w:pPr>
    </w:p>
    <w:p w:rsidR="00366B80" w:rsidRDefault="00366B80" w:rsidP="00366B80">
      <w:pPr>
        <w:ind w:left="-142"/>
        <w:rPr>
          <w:rFonts w:ascii="Arial" w:hAnsi="Arial" w:cs="Arial"/>
          <w:sz w:val="22"/>
          <w:szCs w:val="22"/>
        </w:rPr>
      </w:pPr>
      <w:r w:rsidRPr="00136C82">
        <w:rPr>
          <w:rFonts w:ascii="Arial" w:hAnsi="Arial" w:cs="Arial"/>
          <w:sz w:val="22"/>
          <w:szCs w:val="22"/>
        </w:rPr>
        <w:t>E</w:t>
      </w:r>
      <w:r w:rsidRPr="00F233A8">
        <w:rPr>
          <w:rFonts w:ascii="Arial" w:hAnsi="Arial" w:cs="Arial"/>
          <w:sz w:val="22"/>
          <w:szCs w:val="22"/>
        </w:rPr>
        <w:t>m</w:t>
      </w:r>
      <w:r w:rsidRPr="00136C82">
        <w:rPr>
          <w:rFonts w:ascii="Arial" w:hAnsi="Arial" w:cs="Arial"/>
          <w:sz w:val="22"/>
          <w:szCs w:val="22"/>
        </w:rPr>
        <w:t>=</w:t>
      </w:r>
      <w:r>
        <w:rPr>
          <w:rFonts w:ascii="Arial" w:hAnsi="Arial" w:cs="Arial"/>
          <w:sz w:val="22"/>
          <w:szCs w:val="22"/>
        </w:rPr>
        <w:t>2</w:t>
      </w:r>
      <w:r w:rsidRPr="00517F76">
        <w:rPr>
          <w:rFonts w:ascii="Arial" w:hAnsi="Arial" w:cs="Arial"/>
          <w:sz w:val="22"/>
          <w:szCs w:val="22"/>
        </w:rPr>
        <w:t>0</w:t>
      </w:r>
      <w:r w:rsidRPr="00136C82">
        <w:rPr>
          <w:rFonts w:ascii="Arial" w:hAnsi="Arial" w:cs="Arial"/>
          <w:sz w:val="22"/>
          <w:szCs w:val="22"/>
        </w:rPr>
        <w:t xml:space="preserve"> lx; U</w:t>
      </w:r>
      <w:r w:rsidRPr="00F233A8">
        <w:rPr>
          <w:rFonts w:ascii="Arial" w:hAnsi="Arial" w:cs="Arial"/>
          <w:sz w:val="22"/>
          <w:szCs w:val="22"/>
        </w:rPr>
        <w:t>0</w:t>
      </w:r>
      <w:r w:rsidRPr="00136C82">
        <w:rPr>
          <w:rFonts w:ascii="Arial" w:hAnsi="Arial" w:cs="Arial"/>
          <w:sz w:val="22"/>
          <w:szCs w:val="22"/>
        </w:rPr>
        <w:t>=0,</w:t>
      </w:r>
      <w:r>
        <w:rPr>
          <w:rFonts w:ascii="Arial" w:hAnsi="Arial" w:cs="Arial"/>
          <w:sz w:val="22"/>
          <w:szCs w:val="22"/>
        </w:rPr>
        <w:t>40</w:t>
      </w:r>
      <w:r w:rsidRPr="00136C82">
        <w:rPr>
          <w:rFonts w:ascii="Arial" w:hAnsi="Arial" w:cs="Arial"/>
          <w:sz w:val="22"/>
          <w:szCs w:val="22"/>
        </w:rPr>
        <w:t>; GR</w:t>
      </w:r>
      <w:r w:rsidRPr="00F233A8">
        <w:rPr>
          <w:rFonts w:ascii="Arial" w:hAnsi="Arial" w:cs="Arial"/>
          <w:sz w:val="22"/>
          <w:szCs w:val="22"/>
        </w:rPr>
        <w:t>L</w:t>
      </w:r>
      <w:r w:rsidRPr="00136C82">
        <w:rPr>
          <w:rFonts w:ascii="Arial" w:hAnsi="Arial" w:cs="Arial"/>
          <w:sz w:val="22"/>
          <w:szCs w:val="22"/>
        </w:rPr>
        <w:t>=</w:t>
      </w:r>
      <w:r>
        <w:rPr>
          <w:rFonts w:ascii="Arial" w:hAnsi="Arial" w:cs="Arial"/>
          <w:sz w:val="22"/>
          <w:szCs w:val="22"/>
        </w:rPr>
        <w:t>45</w:t>
      </w:r>
      <w:r w:rsidRPr="00136C82">
        <w:rPr>
          <w:rFonts w:ascii="Arial" w:hAnsi="Arial" w:cs="Arial"/>
          <w:sz w:val="22"/>
          <w:szCs w:val="22"/>
        </w:rPr>
        <w:t>; R</w:t>
      </w:r>
      <w:r w:rsidRPr="00F233A8">
        <w:rPr>
          <w:rFonts w:ascii="Arial" w:hAnsi="Arial" w:cs="Arial"/>
          <w:sz w:val="22"/>
          <w:szCs w:val="22"/>
        </w:rPr>
        <w:t>a</w:t>
      </w:r>
      <w:r w:rsidRPr="00136C82">
        <w:rPr>
          <w:rFonts w:ascii="Arial" w:hAnsi="Arial" w:cs="Arial"/>
          <w:sz w:val="22"/>
          <w:szCs w:val="22"/>
        </w:rPr>
        <w:t>=20.</w:t>
      </w:r>
    </w:p>
    <w:p w:rsidR="00366B80" w:rsidRDefault="00366B80" w:rsidP="00366B80">
      <w:pPr>
        <w:ind w:left="-142"/>
        <w:rPr>
          <w:rFonts w:ascii="Arial" w:hAnsi="Arial" w:cs="Arial"/>
          <w:sz w:val="22"/>
          <w:szCs w:val="22"/>
        </w:rPr>
      </w:pPr>
    </w:p>
    <w:p w:rsidR="00366B80" w:rsidRDefault="00366B80" w:rsidP="00366B80">
      <w:pPr>
        <w:ind w:left="-142"/>
        <w:rPr>
          <w:rFonts w:ascii="Arial" w:hAnsi="Arial" w:cs="Arial"/>
          <w:sz w:val="22"/>
          <w:szCs w:val="22"/>
        </w:rPr>
      </w:pPr>
    </w:p>
    <w:p w:rsidR="00366B80" w:rsidRPr="00136C82" w:rsidRDefault="00366B80" w:rsidP="00366B80">
      <w:pPr>
        <w:ind w:left="-142"/>
        <w:rPr>
          <w:rFonts w:ascii="Arial" w:hAnsi="Arial" w:cs="Arial"/>
          <w:sz w:val="22"/>
          <w:szCs w:val="22"/>
        </w:rPr>
      </w:pPr>
    </w:p>
    <w:p w:rsidR="00366B80" w:rsidRDefault="00366B80" w:rsidP="00366B80">
      <w:pPr>
        <w:tabs>
          <w:tab w:val="left" w:pos="1134"/>
        </w:tabs>
        <w:ind w:left="720" w:right="-142" w:hanging="862"/>
        <w:rPr>
          <w:rFonts w:ascii="Arial" w:hAnsi="Arial"/>
          <w:sz w:val="22"/>
          <w:szCs w:val="22"/>
        </w:rPr>
      </w:pPr>
      <w:r w:rsidRPr="00CB7865">
        <w:rPr>
          <w:rFonts w:ascii="Arial" w:hAnsi="Arial"/>
          <w:sz w:val="22"/>
          <w:szCs w:val="22"/>
        </w:rPr>
        <w:t>2.1.</w:t>
      </w:r>
      <w:r>
        <w:rPr>
          <w:rFonts w:ascii="Arial" w:hAnsi="Arial"/>
          <w:sz w:val="22"/>
          <w:szCs w:val="22"/>
        </w:rPr>
        <w:t>3.2.</w:t>
      </w:r>
      <w:r w:rsidRPr="00CB7865">
        <w:rPr>
          <w:rFonts w:ascii="Arial" w:hAnsi="Arial"/>
          <w:sz w:val="22"/>
          <w:szCs w:val="22"/>
        </w:rPr>
        <w:t xml:space="preserve"> </w:t>
      </w:r>
      <w:r w:rsidRPr="00CB7865">
        <w:rPr>
          <w:rFonts w:ascii="Arial" w:hAnsi="Arial"/>
          <w:sz w:val="22"/>
          <w:szCs w:val="22"/>
        </w:rPr>
        <w:tab/>
      </w:r>
      <w:r>
        <w:rPr>
          <w:rFonts w:ascii="Arial" w:hAnsi="Arial"/>
          <w:sz w:val="22"/>
          <w:szCs w:val="22"/>
        </w:rPr>
        <w:tab/>
        <w:t>Opis sustava upravljanja vanjskom rasvjetom</w:t>
      </w:r>
    </w:p>
    <w:p w:rsidR="00366B80" w:rsidRDefault="00366B80" w:rsidP="00366B80">
      <w:pPr>
        <w:tabs>
          <w:tab w:val="left" w:pos="1134"/>
        </w:tabs>
        <w:ind w:left="720" w:right="-142" w:hanging="862"/>
        <w:rPr>
          <w:rFonts w:ascii="Arial" w:hAnsi="Arial"/>
          <w:sz w:val="22"/>
          <w:szCs w:val="22"/>
        </w:rPr>
      </w:pPr>
    </w:p>
    <w:p w:rsidR="00366B80" w:rsidRDefault="00366B80" w:rsidP="00366B80">
      <w:pPr>
        <w:tabs>
          <w:tab w:val="left" w:pos="1134"/>
        </w:tabs>
        <w:ind w:left="-142"/>
        <w:jc w:val="both"/>
        <w:rPr>
          <w:rFonts w:ascii="Arial" w:hAnsi="Arial"/>
          <w:sz w:val="22"/>
          <w:szCs w:val="22"/>
        </w:rPr>
      </w:pPr>
      <w:r>
        <w:rPr>
          <w:rFonts w:ascii="Arial" w:hAnsi="Arial"/>
          <w:sz w:val="22"/>
          <w:szCs w:val="22"/>
        </w:rPr>
        <w:t xml:space="preserve">Rasvjetom sa 35 LED svjetiljki uz prometnice, parkirališta i prilaza luke, kao i rasvjetom prostora uz staru obalu  luke sjeveroistočno i sjeverozapadno  od zgrade Lučka uprava sa ukupno 18 LED reflektora, upravlja se zasebno automatski pomoću tvornički ugrađenih LED </w:t>
      </w:r>
      <w:proofErr w:type="spellStart"/>
      <w:r>
        <w:rPr>
          <w:rFonts w:ascii="Arial" w:hAnsi="Arial"/>
          <w:sz w:val="22"/>
          <w:szCs w:val="22"/>
        </w:rPr>
        <w:t>prigušnica</w:t>
      </w:r>
      <w:proofErr w:type="spellEnd"/>
      <w:r>
        <w:rPr>
          <w:rFonts w:ascii="Arial" w:hAnsi="Arial"/>
          <w:sz w:val="22"/>
          <w:szCs w:val="22"/>
        </w:rPr>
        <w:t xml:space="preserve"> za redukciju snage u svakoj svjetiljci i svakom reflektoru za rasvjetu dijela prostora luke i to područja P2,P3,...P9.  Smanjenje snage, a time i smanjenje </w:t>
      </w:r>
      <w:proofErr w:type="spellStart"/>
      <w:r>
        <w:rPr>
          <w:rFonts w:ascii="Arial" w:hAnsi="Arial"/>
          <w:sz w:val="22"/>
          <w:szCs w:val="22"/>
        </w:rPr>
        <w:t>rasvjetljenosti</w:t>
      </w:r>
      <w:proofErr w:type="spellEnd"/>
      <w:r>
        <w:rPr>
          <w:rFonts w:ascii="Arial" w:hAnsi="Arial"/>
          <w:sz w:val="22"/>
          <w:szCs w:val="22"/>
        </w:rPr>
        <w:t xml:space="preserve"> i utroška električne energije odvija se automatski efektivno 3 h prije i 5 h </w:t>
      </w:r>
      <w:proofErr w:type="spellStart"/>
      <w:r>
        <w:rPr>
          <w:rFonts w:ascii="Arial" w:hAnsi="Arial"/>
          <w:sz w:val="22"/>
          <w:szCs w:val="22"/>
        </w:rPr>
        <w:t>poslje</w:t>
      </w:r>
      <w:proofErr w:type="spellEnd"/>
      <w:r>
        <w:rPr>
          <w:rFonts w:ascii="Arial" w:hAnsi="Arial"/>
          <w:sz w:val="22"/>
          <w:szCs w:val="22"/>
        </w:rPr>
        <w:t xml:space="preserve"> izračunate ponoći.</w:t>
      </w:r>
    </w:p>
    <w:p w:rsidR="00366B80" w:rsidRDefault="00366B80" w:rsidP="00366B80">
      <w:pPr>
        <w:tabs>
          <w:tab w:val="left" w:pos="1134"/>
        </w:tabs>
        <w:ind w:left="-142"/>
        <w:jc w:val="both"/>
        <w:rPr>
          <w:rFonts w:ascii="Arial" w:hAnsi="Arial"/>
          <w:sz w:val="22"/>
          <w:szCs w:val="22"/>
        </w:rPr>
      </w:pPr>
      <w:r>
        <w:rPr>
          <w:rFonts w:ascii="Arial" w:hAnsi="Arial"/>
          <w:sz w:val="22"/>
          <w:szCs w:val="22"/>
        </w:rPr>
        <w:t xml:space="preserve">Rasvjetom nove operativne obale tj. područja P1 sa ukupno 69 LED reflektora, predviđa se upravljati i nadzirati sa jednog centralnog mjesta </w:t>
      </w:r>
      <w:r w:rsidRPr="004E3737">
        <w:rPr>
          <w:rFonts w:ascii="Arial" w:hAnsi="Arial"/>
          <w:sz w:val="22"/>
          <w:szCs w:val="22"/>
        </w:rPr>
        <w:t>koje je u naravi standardno računalo ili bilo koji drugi uređaj (</w:t>
      </w:r>
      <w:proofErr w:type="spellStart"/>
      <w:r w:rsidRPr="004E3737">
        <w:rPr>
          <w:rFonts w:ascii="Arial" w:hAnsi="Arial"/>
          <w:sz w:val="22"/>
          <w:szCs w:val="22"/>
        </w:rPr>
        <w:t>iPhone</w:t>
      </w:r>
      <w:proofErr w:type="spellEnd"/>
      <w:r w:rsidRPr="004E3737">
        <w:rPr>
          <w:rFonts w:ascii="Arial" w:hAnsi="Arial"/>
          <w:sz w:val="22"/>
          <w:szCs w:val="22"/>
        </w:rPr>
        <w:t xml:space="preserve">, </w:t>
      </w:r>
      <w:proofErr w:type="spellStart"/>
      <w:r w:rsidRPr="004E3737">
        <w:rPr>
          <w:rFonts w:ascii="Arial" w:hAnsi="Arial"/>
          <w:sz w:val="22"/>
          <w:szCs w:val="22"/>
        </w:rPr>
        <w:t>iPad</w:t>
      </w:r>
      <w:proofErr w:type="spellEnd"/>
      <w:r w:rsidRPr="004E3737">
        <w:rPr>
          <w:rFonts w:ascii="Arial" w:hAnsi="Arial"/>
          <w:sz w:val="22"/>
          <w:szCs w:val="22"/>
        </w:rPr>
        <w:t xml:space="preserve"> i dr.) koji ima WEB preglednik i pristup </w:t>
      </w:r>
      <w:proofErr w:type="spellStart"/>
      <w:r w:rsidRPr="004E3737">
        <w:rPr>
          <w:rFonts w:ascii="Arial" w:hAnsi="Arial"/>
          <w:sz w:val="22"/>
          <w:szCs w:val="22"/>
        </w:rPr>
        <w:t>internet</w:t>
      </w:r>
      <w:r>
        <w:rPr>
          <w:rFonts w:ascii="Arial" w:hAnsi="Arial"/>
          <w:sz w:val="22"/>
          <w:szCs w:val="22"/>
        </w:rPr>
        <w:t>u</w:t>
      </w:r>
      <w:proofErr w:type="spellEnd"/>
      <w:r w:rsidRPr="004E3737">
        <w:rPr>
          <w:rFonts w:ascii="Arial" w:hAnsi="Arial"/>
          <w:sz w:val="22"/>
          <w:szCs w:val="22"/>
        </w:rPr>
        <w:t xml:space="preserve">. </w:t>
      </w:r>
      <w:r>
        <w:rPr>
          <w:rFonts w:ascii="Arial" w:hAnsi="Arial"/>
          <w:sz w:val="22"/>
          <w:szCs w:val="22"/>
        </w:rPr>
        <w:t>Predviđeni s</w:t>
      </w:r>
      <w:r w:rsidRPr="004E3737">
        <w:rPr>
          <w:rFonts w:ascii="Arial" w:hAnsi="Arial"/>
          <w:sz w:val="22"/>
          <w:szCs w:val="22"/>
        </w:rPr>
        <w:t>ustav</w:t>
      </w:r>
      <w:r>
        <w:rPr>
          <w:rFonts w:ascii="Arial" w:hAnsi="Arial"/>
          <w:sz w:val="22"/>
          <w:szCs w:val="22"/>
        </w:rPr>
        <w:t xml:space="preserve"> je </w:t>
      </w:r>
      <w:proofErr w:type="spellStart"/>
      <w:r>
        <w:rPr>
          <w:rFonts w:ascii="Arial" w:hAnsi="Arial"/>
          <w:sz w:val="22"/>
          <w:szCs w:val="22"/>
        </w:rPr>
        <w:t>Thornov</w:t>
      </w:r>
      <w:proofErr w:type="spellEnd"/>
      <w:r>
        <w:rPr>
          <w:rFonts w:ascii="Arial" w:hAnsi="Arial"/>
          <w:sz w:val="22"/>
          <w:szCs w:val="22"/>
        </w:rPr>
        <w:t xml:space="preserve"> </w:t>
      </w:r>
      <w:proofErr w:type="spellStart"/>
      <w:r>
        <w:rPr>
          <w:rFonts w:ascii="Arial" w:hAnsi="Arial"/>
          <w:sz w:val="22"/>
          <w:szCs w:val="22"/>
        </w:rPr>
        <w:t>smart</w:t>
      </w:r>
      <w:proofErr w:type="spellEnd"/>
      <w:r>
        <w:rPr>
          <w:rFonts w:ascii="Arial" w:hAnsi="Arial"/>
          <w:sz w:val="22"/>
          <w:szCs w:val="22"/>
        </w:rPr>
        <w:t xml:space="preserve"> sustav komercijalnog naziva „</w:t>
      </w:r>
      <w:proofErr w:type="spellStart"/>
      <w:r>
        <w:rPr>
          <w:rFonts w:ascii="Arial" w:hAnsi="Arial"/>
          <w:sz w:val="22"/>
          <w:szCs w:val="22"/>
        </w:rPr>
        <w:t>InCity</w:t>
      </w:r>
      <w:proofErr w:type="spellEnd"/>
      <w:r>
        <w:rPr>
          <w:rFonts w:ascii="Arial" w:hAnsi="Arial"/>
          <w:sz w:val="22"/>
          <w:szCs w:val="22"/>
        </w:rPr>
        <w:t>“, kojim se</w:t>
      </w:r>
      <w:r w:rsidRPr="004E3737">
        <w:rPr>
          <w:rFonts w:ascii="Arial" w:hAnsi="Arial"/>
          <w:sz w:val="22"/>
          <w:szCs w:val="22"/>
        </w:rPr>
        <w:t xml:space="preserve"> uključuj</w:t>
      </w:r>
      <w:r>
        <w:rPr>
          <w:rFonts w:ascii="Arial" w:hAnsi="Arial"/>
          <w:sz w:val="22"/>
          <w:szCs w:val="22"/>
        </w:rPr>
        <w:t>u</w:t>
      </w:r>
      <w:r w:rsidRPr="004E3737">
        <w:rPr>
          <w:rFonts w:ascii="Arial" w:hAnsi="Arial"/>
          <w:sz w:val="22"/>
          <w:szCs w:val="22"/>
        </w:rPr>
        <w:t xml:space="preserve"> i isključuj</w:t>
      </w:r>
      <w:r>
        <w:rPr>
          <w:rFonts w:ascii="Arial" w:hAnsi="Arial"/>
          <w:sz w:val="22"/>
          <w:szCs w:val="22"/>
        </w:rPr>
        <w:t>u</w:t>
      </w:r>
      <w:r w:rsidRPr="004E3737">
        <w:rPr>
          <w:rFonts w:ascii="Arial" w:hAnsi="Arial"/>
          <w:sz w:val="22"/>
          <w:szCs w:val="22"/>
        </w:rPr>
        <w:t xml:space="preserve"> rasvjetna tijela u nazivnom ili redukcijskom pogonu prema potrebama, ovisno o obujmu </w:t>
      </w:r>
      <w:r>
        <w:rPr>
          <w:rFonts w:ascii="Arial" w:hAnsi="Arial"/>
          <w:sz w:val="22"/>
          <w:szCs w:val="22"/>
        </w:rPr>
        <w:t xml:space="preserve">lučkog </w:t>
      </w:r>
      <w:r w:rsidRPr="004E3737">
        <w:rPr>
          <w:rFonts w:ascii="Arial" w:hAnsi="Arial"/>
          <w:sz w:val="22"/>
          <w:szCs w:val="22"/>
        </w:rPr>
        <w:t xml:space="preserve">prometa, dobu </w:t>
      </w:r>
      <w:r>
        <w:rPr>
          <w:rFonts w:ascii="Arial" w:hAnsi="Arial"/>
          <w:sz w:val="22"/>
          <w:szCs w:val="22"/>
        </w:rPr>
        <w:t>noći i dana</w:t>
      </w:r>
      <w:r w:rsidRPr="004E3737">
        <w:rPr>
          <w:rFonts w:ascii="Arial" w:hAnsi="Arial"/>
          <w:sz w:val="22"/>
          <w:szCs w:val="22"/>
        </w:rPr>
        <w:t xml:space="preserve">, vremenskim prilikama, godišnjem dobu i sl. </w:t>
      </w:r>
    </w:p>
    <w:p w:rsidR="00366B80" w:rsidRDefault="00366B80" w:rsidP="00366B80">
      <w:pPr>
        <w:tabs>
          <w:tab w:val="left" w:pos="1134"/>
        </w:tabs>
        <w:ind w:left="-142"/>
        <w:jc w:val="both"/>
        <w:rPr>
          <w:rFonts w:ascii="Arial" w:hAnsi="Arial"/>
          <w:sz w:val="22"/>
          <w:szCs w:val="22"/>
        </w:rPr>
      </w:pPr>
      <w:r w:rsidRPr="008629AA">
        <w:rPr>
          <w:rFonts w:ascii="Arial" w:hAnsi="Arial"/>
          <w:sz w:val="22"/>
          <w:szCs w:val="22"/>
        </w:rPr>
        <w:t>Sustav „</w:t>
      </w:r>
      <w:proofErr w:type="spellStart"/>
      <w:r>
        <w:rPr>
          <w:rFonts w:ascii="Arial" w:hAnsi="Arial"/>
          <w:sz w:val="22"/>
          <w:szCs w:val="22"/>
        </w:rPr>
        <w:t>InCity</w:t>
      </w:r>
      <w:proofErr w:type="spellEnd"/>
      <w:r w:rsidRPr="008629AA">
        <w:rPr>
          <w:rFonts w:ascii="Arial" w:hAnsi="Arial"/>
          <w:sz w:val="22"/>
          <w:szCs w:val="22"/>
        </w:rPr>
        <w:t>“ za potrebe komunikacije koristi najnoviju RF tehnologiju na osnovu “</w:t>
      </w:r>
      <w:proofErr w:type="spellStart"/>
      <w:r w:rsidRPr="008629AA">
        <w:rPr>
          <w:rFonts w:ascii="Arial" w:hAnsi="Arial"/>
          <w:sz w:val="22"/>
          <w:szCs w:val="22"/>
        </w:rPr>
        <w:t>ZigBee</w:t>
      </w:r>
      <w:proofErr w:type="spellEnd"/>
      <w:r w:rsidRPr="008629AA">
        <w:rPr>
          <w:rFonts w:ascii="Arial" w:hAnsi="Arial"/>
          <w:sz w:val="22"/>
          <w:szCs w:val="22"/>
        </w:rPr>
        <w:t xml:space="preserve">” protokola  koji opisuje rješenje za bežični dvosmjerni prijenos podataka između međusobno udaljenih točaka. Standard je opisan u IEEE normi 802.15.4. Namijenjen je mrežama u kojima je bitna potrošnja energije (vrlo mala) i  gdje je potrebno umrežavanje velikog broja uređaja sa visokom sigurnošću prijenosa. Radna frekvencija 2,4 </w:t>
      </w:r>
      <w:proofErr w:type="spellStart"/>
      <w:r w:rsidRPr="008629AA">
        <w:rPr>
          <w:rFonts w:ascii="Arial" w:hAnsi="Arial"/>
          <w:sz w:val="22"/>
          <w:szCs w:val="22"/>
        </w:rPr>
        <w:t>GHz</w:t>
      </w:r>
      <w:proofErr w:type="spellEnd"/>
      <w:r w:rsidRPr="008629AA">
        <w:rPr>
          <w:rFonts w:ascii="Arial" w:hAnsi="Arial"/>
          <w:sz w:val="22"/>
          <w:szCs w:val="22"/>
        </w:rPr>
        <w:t xml:space="preserve"> je slobodna za javnu uporabu i ne podliježe nikakvim dozvolama i odobrenjima u svim zemljama EU i većini drugih zemalja</w:t>
      </w:r>
      <w:r>
        <w:rPr>
          <w:rFonts w:ascii="Arial" w:hAnsi="Arial"/>
          <w:sz w:val="22"/>
          <w:szCs w:val="22"/>
        </w:rPr>
        <w:t xml:space="preserve">, a </w:t>
      </w:r>
      <w:r w:rsidRPr="006E4C3D">
        <w:rPr>
          <w:rFonts w:ascii="Arial" w:hAnsi="Arial"/>
          <w:sz w:val="22"/>
          <w:szCs w:val="22"/>
        </w:rPr>
        <w:t xml:space="preserve">osigurava sigurnu komunikaciju između </w:t>
      </w:r>
      <w:r>
        <w:rPr>
          <w:rFonts w:ascii="Arial" w:hAnsi="Arial"/>
          <w:sz w:val="22"/>
          <w:szCs w:val="22"/>
        </w:rPr>
        <w:t>reflektora</w:t>
      </w:r>
      <w:r w:rsidRPr="006E4C3D">
        <w:rPr>
          <w:rFonts w:ascii="Arial" w:hAnsi="Arial"/>
          <w:sz w:val="22"/>
          <w:szCs w:val="22"/>
        </w:rPr>
        <w:t xml:space="preserve"> </w:t>
      </w:r>
      <w:r>
        <w:rPr>
          <w:rFonts w:ascii="Arial" w:hAnsi="Arial"/>
          <w:sz w:val="22"/>
          <w:szCs w:val="22"/>
        </w:rPr>
        <w:t xml:space="preserve">preko RF </w:t>
      </w:r>
      <w:proofErr w:type="spellStart"/>
      <w:r>
        <w:rPr>
          <w:rFonts w:ascii="Arial" w:hAnsi="Arial"/>
          <w:sz w:val="22"/>
          <w:szCs w:val="22"/>
        </w:rPr>
        <w:t>kontrolera</w:t>
      </w:r>
      <w:proofErr w:type="spellEnd"/>
      <w:r>
        <w:rPr>
          <w:rFonts w:ascii="Arial" w:hAnsi="Arial"/>
          <w:sz w:val="22"/>
          <w:szCs w:val="22"/>
        </w:rPr>
        <w:t xml:space="preserve"> </w:t>
      </w:r>
      <w:r w:rsidRPr="006E4C3D">
        <w:rPr>
          <w:rFonts w:ascii="Arial" w:hAnsi="Arial"/>
          <w:sz w:val="22"/>
          <w:szCs w:val="22"/>
        </w:rPr>
        <w:t xml:space="preserve">i </w:t>
      </w:r>
      <w:r>
        <w:rPr>
          <w:rFonts w:ascii="Arial" w:hAnsi="Arial"/>
          <w:sz w:val="22"/>
          <w:szCs w:val="22"/>
        </w:rPr>
        <w:t xml:space="preserve">RF mrežnog modula odnosno RF </w:t>
      </w:r>
      <w:r w:rsidRPr="006E4C3D">
        <w:rPr>
          <w:rFonts w:ascii="Arial" w:hAnsi="Arial"/>
          <w:sz w:val="22"/>
          <w:szCs w:val="22"/>
        </w:rPr>
        <w:t>pristupnika</w:t>
      </w:r>
      <w:r>
        <w:rPr>
          <w:rFonts w:ascii="Arial" w:hAnsi="Arial"/>
          <w:sz w:val="22"/>
          <w:szCs w:val="22"/>
        </w:rPr>
        <w:t xml:space="preserve"> (RF </w:t>
      </w:r>
      <w:proofErr w:type="spellStart"/>
      <w:r>
        <w:rPr>
          <w:rFonts w:ascii="Arial" w:hAnsi="Arial"/>
          <w:sz w:val="22"/>
          <w:szCs w:val="22"/>
        </w:rPr>
        <w:t>gateway</w:t>
      </w:r>
      <w:proofErr w:type="spellEnd"/>
      <w:r>
        <w:rPr>
          <w:rFonts w:ascii="Arial" w:hAnsi="Arial"/>
          <w:sz w:val="22"/>
          <w:szCs w:val="22"/>
        </w:rPr>
        <w:t xml:space="preserve">). </w:t>
      </w:r>
    </w:p>
    <w:p w:rsidR="00366B80" w:rsidRDefault="00366B80" w:rsidP="00366B80">
      <w:pPr>
        <w:tabs>
          <w:tab w:val="left" w:pos="1134"/>
        </w:tabs>
        <w:ind w:left="-142"/>
        <w:jc w:val="both"/>
        <w:rPr>
          <w:rFonts w:ascii="Arial" w:hAnsi="Arial"/>
          <w:sz w:val="22"/>
          <w:szCs w:val="22"/>
        </w:rPr>
      </w:pPr>
      <w:r>
        <w:rPr>
          <w:rFonts w:ascii="Arial" w:hAnsi="Arial"/>
          <w:sz w:val="22"/>
          <w:szCs w:val="22"/>
        </w:rPr>
        <w:lastRenderedPageBreak/>
        <w:t xml:space="preserve">RF </w:t>
      </w:r>
      <w:proofErr w:type="spellStart"/>
      <w:r>
        <w:rPr>
          <w:rFonts w:ascii="Arial" w:hAnsi="Arial"/>
          <w:sz w:val="22"/>
          <w:szCs w:val="22"/>
        </w:rPr>
        <w:t>kontroleri</w:t>
      </w:r>
      <w:proofErr w:type="spellEnd"/>
      <w:r>
        <w:rPr>
          <w:rFonts w:ascii="Arial" w:hAnsi="Arial"/>
          <w:sz w:val="22"/>
          <w:szCs w:val="22"/>
        </w:rPr>
        <w:t xml:space="preserve"> se montiraju na stup s reflektorima, a njihova međusobna udaljenost je do 200 m, a RF pristupnik postavlja se na pogodno mjesto pročelja zgrade „Željeznički magazin“, kojemu treba osigurati mrežno napajanje. RF pristupnik ima bežičnu dvosmjernu komunikaciju radijskim signalom 2,4 </w:t>
      </w:r>
      <w:proofErr w:type="spellStart"/>
      <w:r>
        <w:rPr>
          <w:rFonts w:ascii="Arial" w:hAnsi="Arial"/>
          <w:sz w:val="22"/>
          <w:szCs w:val="22"/>
        </w:rPr>
        <w:t>GHz</w:t>
      </w:r>
      <w:proofErr w:type="spellEnd"/>
      <w:r w:rsidRPr="006E4C3D">
        <w:rPr>
          <w:rFonts w:ascii="Arial" w:hAnsi="Arial"/>
          <w:sz w:val="22"/>
          <w:szCs w:val="22"/>
        </w:rPr>
        <w:t xml:space="preserve"> s </w:t>
      </w:r>
      <w:r>
        <w:rPr>
          <w:rFonts w:ascii="Arial" w:hAnsi="Arial"/>
          <w:sz w:val="22"/>
          <w:szCs w:val="22"/>
        </w:rPr>
        <w:t xml:space="preserve">računalom koji ima WEB </w:t>
      </w:r>
      <w:r w:rsidRPr="006E4C3D">
        <w:rPr>
          <w:rFonts w:ascii="Arial" w:hAnsi="Arial"/>
          <w:sz w:val="22"/>
          <w:szCs w:val="22"/>
        </w:rPr>
        <w:t>p</w:t>
      </w:r>
      <w:r>
        <w:rPr>
          <w:rFonts w:ascii="Arial" w:hAnsi="Arial"/>
          <w:sz w:val="22"/>
          <w:szCs w:val="22"/>
        </w:rPr>
        <w:t xml:space="preserve">reglednik s pristupom </w:t>
      </w:r>
      <w:proofErr w:type="spellStart"/>
      <w:r>
        <w:rPr>
          <w:rFonts w:ascii="Arial" w:hAnsi="Arial"/>
          <w:sz w:val="22"/>
          <w:szCs w:val="22"/>
        </w:rPr>
        <w:t>internetu</w:t>
      </w:r>
      <w:proofErr w:type="spellEnd"/>
      <w:r>
        <w:rPr>
          <w:rFonts w:ascii="Arial" w:hAnsi="Arial"/>
          <w:sz w:val="22"/>
          <w:szCs w:val="22"/>
        </w:rPr>
        <w:t>.</w:t>
      </w:r>
      <w:r w:rsidRPr="006E4C3D">
        <w:rPr>
          <w:rFonts w:ascii="Arial" w:hAnsi="Arial"/>
          <w:sz w:val="22"/>
          <w:szCs w:val="22"/>
        </w:rPr>
        <w:t xml:space="preserve"> </w:t>
      </w:r>
      <w:r>
        <w:rPr>
          <w:rFonts w:ascii="Arial" w:hAnsi="Arial"/>
          <w:sz w:val="22"/>
          <w:szCs w:val="22"/>
        </w:rPr>
        <w:t>RF pristupnik osim sučelja za WLAN</w:t>
      </w:r>
      <w:r w:rsidRPr="006E4C3D">
        <w:rPr>
          <w:rFonts w:ascii="Arial" w:hAnsi="Arial"/>
          <w:sz w:val="22"/>
          <w:szCs w:val="22"/>
        </w:rPr>
        <w:t xml:space="preserve"> nudi sučelja </w:t>
      </w:r>
      <w:r>
        <w:rPr>
          <w:rFonts w:ascii="Arial" w:hAnsi="Arial"/>
          <w:sz w:val="22"/>
          <w:szCs w:val="22"/>
        </w:rPr>
        <w:t xml:space="preserve">i </w:t>
      </w:r>
      <w:r w:rsidRPr="006E4C3D">
        <w:rPr>
          <w:rFonts w:ascii="Arial" w:hAnsi="Arial"/>
          <w:sz w:val="22"/>
          <w:szCs w:val="22"/>
        </w:rPr>
        <w:t xml:space="preserve">za </w:t>
      </w:r>
      <w:proofErr w:type="spellStart"/>
      <w:r w:rsidRPr="006E4C3D">
        <w:rPr>
          <w:rFonts w:ascii="Arial" w:hAnsi="Arial"/>
          <w:sz w:val="22"/>
          <w:szCs w:val="22"/>
        </w:rPr>
        <w:t>Ethernet</w:t>
      </w:r>
      <w:proofErr w:type="spellEnd"/>
      <w:r w:rsidRPr="006E4C3D">
        <w:rPr>
          <w:rFonts w:ascii="Arial" w:hAnsi="Arial"/>
          <w:sz w:val="22"/>
          <w:szCs w:val="22"/>
        </w:rPr>
        <w:t>, kao i mogućnost umetanja SIM kartice.</w:t>
      </w:r>
      <w:r>
        <w:rPr>
          <w:rFonts w:ascii="Arial" w:hAnsi="Arial"/>
          <w:sz w:val="22"/>
          <w:szCs w:val="22"/>
        </w:rPr>
        <w:t xml:space="preserve"> RF pristupnik-RF m</w:t>
      </w:r>
      <w:r w:rsidRPr="00B00288">
        <w:rPr>
          <w:rFonts w:ascii="Arial" w:hAnsi="Arial"/>
          <w:sz w:val="22"/>
          <w:szCs w:val="22"/>
        </w:rPr>
        <w:t xml:space="preserve">režni modul </w:t>
      </w:r>
      <w:r>
        <w:rPr>
          <w:rFonts w:ascii="Arial" w:hAnsi="Arial"/>
          <w:sz w:val="22"/>
          <w:szCs w:val="22"/>
        </w:rPr>
        <w:t xml:space="preserve">(RF </w:t>
      </w:r>
      <w:proofErr w:type="spellStart"/>
      <w:r>
        <w:rPr>
          <w:rFonts w:ascii="Arial" w:hAnsi="Arial"/>
          <w:sz w:val="22"/>
          <w:szCs w:val="22"/>
        </w:rPr>
        <w:t>gateway</w:t>
      </w:r>
      <w:proofErr w:type="spellEnd"/>
      <w:r>
        <w:rPr>
          <w:rFonts w:ascii="Arial" w:hAnsi="Arial"/>
          <w:sz w:val="22"/>
          <w:szCs w:val="22"/>
        </w:rPr>
        <w:t>), može bežično</w:t>
      </w:r>
      <w:r w:rsidRPr="00B00288">
        <w:rPr>
          <w:rFonts w:ascii="Arial" w:hAnsi="Arial"/>
          <w:sz w:val="22"/>
          <w:szCs w:val="22"/>
        </w:rPr>
        <w:t xml:space="preserve"> </w:t>
      </w:r>
      <w:r>
        <w:rPr>
          <w:rFonts w:ascii="Arial" w:hAnsi="Arial"/>
          <w:sz w:val="22"/>
          <w:szCs w:val="22"/>
        </w:rPr>
        <w:t>komunicirati</w:t>
      </w:r>
      <w:r w:rsidRPr="00B00288">
        <w:rPr>
          <w:rFonts w:ascii="Arial" w:hAnsi="Arial"/>
          <w:sz w:val="22"/>
          <w:szCs w:val="22"/>
        </w:rPr>
        <w:t xml:space="preserve"> </w:t>
      </w:r>
      <w:r>
        <w:rPr>
          <w:rFonts w:ascii="Arial" w:hAnsi="Arial"/>
          <w:sz w:val="22"/>
          <w:szCs w:val="22"/>
        </w:rPr>
        <w:t xml:space="preserve">sa </w:t>
      </w:r>
      <w:r w:rsidRPr="00B00288">
        <w:rPr>
          <w:rFonts w:ascii="Arial" w:hAnsi="Arial"/>
          <w:sz w:val="22"/>
          <w:szCs w:val="22"/>
        </w:rPr>
        <w:t xml:space="preserve">do 200 RF </w:t>
      </w:r>
      <w:proofErr w:type="spellStart"/>
      <w:r w:rsidRPr="00B00288">
        <w:rPr>
          <w:rFonts w:ascii="Arial" w:hAnsi="Arial"/>
          <w:sz w:val="22"/>
          <w:szCs w:val="22"/>
        </w:rPr>
        <w:t>kontrolera</w:t>
      </w:r>
      <w:proofErr w:type="spellEnd"/>
      <w:r w:rsidRPr="00B00288">
        <w:rPr>
          <w:rFonts w:ascii="Arial" w:hAnsi="Arial"/>
          <w:sz w:val="22"/>
          <w:szCs w:val="22"/>
        </w:rPr>
        <w:t xml:space="preserve"> </w:t>
      </w:r>
      <w:proofErr w:type="spellStart"/>
      <w:r w:rsidRPr="00B00288">
        <w:rPr>
          <w:rFonts w:ascii="Arial" w:hAnsi="Arial"/>
          <w:sz w:val="22"/>
          <w:szCs w:val="22"/>
        </w:rPr>
        <w:t>InCity</w:t>
      </w:r>
      <w:proofErr w:type="spellEnd"/>
      <w:r w:rsidRPr="00B00288">
        <w:rPr>
          <w:rFonts w:ascii="Arial" w:hAnsi="Arial"/>
          <w:sz w:val="22"/>
          <w:szCs w:val="22"/>
        </w:rPr>
        <w:t xml:space="preserve"> sustava, prikuplja</w:t>
      </w:r>
      <w:r>
        <w:rPr>
          <w:rFonts w:ascii="Arial" w:hAnsi="Arial"/>
          <w:sz w:val="22"/>
          <w:szCs w:val="22"/>
        </w:rPr>
        <w:t>ti</w:t>
      </w:r>
      <w:r w:rsidRPr="00B00288">
        <w:rPr>
          <w:rFonts w:ascii="Arial" w:hAnsi="Arial"/>
          <w:sz w:val="22"/>
          <w:szCs w:val="22"/>
        </w:rPr>
        <w:t xml:space="preserve"> i prosljeđiva</w:t>
      </w:r>
      <w:r>
        <w:rPr>
          <w:rFonts w:ascii="Arial" w:hAnsi="Arial"/>
          <w:sz w:val="22"/>
          <w:szCs w:val="22"/>
        </w:rPr>
        <w:t>ti</w:t>
      </w:r>
      <w:r w:rsidRPr="00B00288">
        <w:rPr>
          <w:rFonts w:ascii="Arial" w:hAnsi="Arial"/>
          <w:sz w:val="22"/>
          <w:szCs w:val="22"/>
        </w:rPr>
        <w:t xml:space="preserve"> </w:t>
      </w:r>
      <w:proofErr w:type="spellStart"/>
      <w:r w:rsidRPr="00B00288">
        <w:rPr>
          <w:rFonts w:ascii="Arial" w:hAnsi="Arial"/>
          <w:sz w:val="22"/>
          <w:szCs w:val="22"/>
        </w:rPr>
        <w:t>podatak</w:t>
      </w:r>
      <w:r>
        <w:rPr>
          <w:rFonts w:ascii="Arial" w:hAnsi="Arial"/>
          <w:sz w:val="22"/>
          <w:szCs w:val="22"/>
        </w:rPr>
        <w:t>e</w:t>
      </w:r>
      <w:proofErr w:type="spellEnd"/>
      <w:r w:rsidRPr="00B00288">
        <w:rPr>
          <w:rFonts w:ascii="Arial" w:hAnsi="Arial"/>
          <w:sz w:val="22"/>
          <w:szCs w:val="22"/>
        </w:rPr>
        <w:t xml:space="preserve"> u </w:t>
      </w:r>
      <w:r>
        <w:rPr>
          <w:rFonts w:ascii="Arial" w:hAnsi="Arial"/>
          <w:sz w:val="22"/>
          <w:szCs w:val="22"/>
        </w:rPr>
        <w:t xml:space="preserve">sustav centralnog upravljanja tj. u PC-u, prijenosno računalo i </w:t>
      </w:r>
      <w:proofErr w:type="spellStart"/>
      <w:r>
        <w:rPr>
          <w:rFonts w:ascii="Arial" w:hAnsi="Arial"/>
          <w:sz w:val="22"/>
          <w:szCs w:val="22"/>
        </w:rPr>
        <w:t>tablet</w:t>
      </w:r>
      <w:proofErr w:type="spellEnd"/>
      <w:r>
        <w:rPr>
          <w:rFonts w:ascii="Arial" w:hAnsi="Arial"/>
          <w:sz w:val="22"/>
          <w:szCs w:val="22"/>
        </w:rPr>
        <w:t xml:space="preserve"> sa pristupom WEB-u i s instaliranim centralnim upravljačkim </w:t>
      </w:r>
      <w:proofErr w:type="spellStart"/>
      <w:r>
        <w:rPr>
          <w:rFonts w:ascii="Arial" w:hAnsi="Arial"/>
          <w:sz w:val="22"/>
          <w:szCs w:val="22"/>
        </w:rPr>
        <w:t>sofverom</w:t>
      </w:r>
      <w:proofErr w:type="spellEnd"/>
      <w:r>
        <w:rPr>
          <w:rFonts w:ascii="Arial" w:hAnsi="Arial"/>
          <w:sz w:val="22"/>
          <w:szCs w:val="22"/>
        </w:rPr>
        <w:t xml:space="preserve"> (</w:t>
      </w:r>
      <w:r w:rsidRPr="00B00288">
        <w:rPr>
          <w:rFonts w:ascii="Arial" w:hAnsi="Arial"/>
          <w:sz w:val="22"/>
          <w:szCs w:val="22"/>
        </w:rPr>
        <w:t>CMS</w:t>
      </w:r>
      <w:r>
        <w:rPr>
          <w:rFonts w:ascii="Arial" w:hAnsi="Arial"/>
          <w:sz w:val="22"/>
          <w:szCs w:val="22"/>
        </w:rPr>
        <w:t xml:space="preserve">). </w:t>
      </w:r>
      <w:r w:rsidRPr="00B00288">
        <w:rPr>
          <w:rFonts w:ascii="Arial" w:hAnsi="Arial"/>
          <w:sz w:val="22"/>
          <w:szCs w:val="22"/>
        </w:rPr>
        <w:t>Pristupnik</w:t>
      </w:r>
      <w:r>
        <w:rPr>
          <w:rFonts w:ascii="Arial" w:hAnsi="Arial"/>
          <w:sz w:val="22"/>
          <w:szCs w:val="22"/>
        </w:rPr>
        <w:t xml:space="preserve"> (RF </w:t>
      </w:r>
      <w:proofErr w:type="spellStart"/>
      <w:r>
        <w:rPr>
          <w:rFonts w:ascii="Arial" w:hAnsi="Arial"/>
          <w:sz w:val="22"/>
          <w:szCs w:val="22"/>
        </w:rPr>
        <w:t>gateway</w:t>
      </w:r>
      <w:proofErr w:type="spellEnd"/>
      <w:r>
        <w:rPr>
          <w:rFonts w:ascii="Arial" w:hAnsi="Arial"/>
          <w:sz w:val="22"/>
          <w:szCs w:val="22"/>
        </w:rPr>
        <w:t>)</w:t>
      </w:r>
      <w:r w:rsidRPr="00B00288">
        <w:rPr>
          <w:rFonts w:ascii="Arial" w:hAnsi="Arial"/>
          <w:sz w:val="22"/>
          <w:szCs w:val="22"/>
        </w:rPr>
        <w:t xml:space="preserve"> ciklički </w:t>
      </w:r>
      <w:r>
        <w:rPr>
          <w:rFonts w:ascii="Arial" w:hAnsi="Arial"/>
          <w:sz w:val="22"/>
          <w:szCs w:val="22"/>
        </w:rPr>
        <w:t xml:space="preserve">prikuplja sistemske podatke i informacije iz sustava (reflektori, </w:t>
      </w:r>
      <w:proofErr w:type="spellStart"/>
      <w:r>
        <w:rPr>
          <w:rFonts w:ascii="Arial" w:hAnsi="Arial"/>
          <w:sz w:val="22"/>
          <w:szCs w:val="22"/>
        </w:rPr>
        <w:t>predspojne</w:t>
      </w:r>
      <w:proofErr w:type="spellEnd"/>
      <w:r>
        <w:rPr>
          <w:rFonts w:ascii="Arial" w:hAnsi="Arial"/>
          <w:sz w:val="22"/>
          <w:szCs w:val="22"/>
        </w:rPr>
        <w:t xml:space="preserve"> naprave, RF </w:t>
      </w:r>
      <w:proofErr w:type="spellStart"/>
      <w:r>
        <w:rPr>
          <w:rFonts w:ascii="Arial" w:hAnsi="Arial"/>
          <w:sz w:val="22"/>
          <w:szCs w:val="22"/>
        </w:rPr>
        <w:t>kontroleri</w:t>
      </w:r>
      <w:proofErr w:type="spellEnd"/>
      <w:r>
        <w:rPr>
          <w:rFonts w:ascii="Arial" w:hAnsi="Arial"/>
          <w:sz w:val="22"/>
          <w:szCs w:val="22"/>
        </w:rPr>
        <w:t>), identificira greške</w:t>
      </w:r>
      <w:r w:rsidRPr="00B00288">
        <w:rPr>
          <w:rFonts w:ascii="Arial" w:hAnsi="Arial"/>
          <w:sz w:val="22"/>
          <w:szCs w:val="22"/>
        </w:rPr>
        <w:t xml:space="preserve">, </w:t>
      </w:r>
      <w:r>
        <w:rPr>
          <w:rFonts w:ascii="Arial" w:hAnsi="Arial"/>
          <w:sz w:val="22"/>
          <w:szCs w:val="22"/>
        </w:rPr>
        <w:t xml:space="preserve">i sve </w:t>
      </w:r>
      <w:r w:rsidRPr="00B00288">
        <w:rPr>
          <w:rFonts w:ascii="Arial" w:hAnsi="Arial"/>
          <w:sz w:val="22"/>
          <w:szCs w:val="22"/>
        </w:rPr>
        <w:t xml:space="preserve">šalje u </w:t>
      </w:r>
      <w:proofErr w:type="spellStart"/>
      <w:r w:rsidRPr="00B00288">
        <w:rPr>
          <w:rFonts w:ascii="Arial" w:hAnsi="Arial"/>
          <w:sz w:val="22"/>
          <w:szCs w:val="22"/>
        </w:rPr>
        <w:t>InCity</w:t>
      </w:r>
      <w:proofErr w:type="spellEnd"/>
      <w:r w:rsidRPr="00B00288">
        <w:rPr>
          <w:rFonts w:ascii="Arial" w:hAnsi="Arial"/>
          <w:sz w:val="22"/>
          <w:szCs w:val="22"/>
        </w:rPr>
        <w:t xml:space="preserve"> sustav za upravljanje rasvjetom i obratno</w:t>
      </w:r>
      <w:r>
        <w:rPr>
          <w:rFonts w:ascii="Arial" w:hAnsi="Arial"/>
          <w:sz w:val="22"/>
          <w:szCs w:val="22"/>
        </w:rPr>
        <w:t>,</w:t>
      </w:r>
      <w:r w:rsidRPr="00B00288">
        <w:rPr>
          <w:rFonts w:ascii="Arial" w:hAnsi="Arial"/>
          <w:sz w:val="22"/>
          <w:szCs w:val="22"/>
        </w:rPr>
        <w:t xml:space="preserve"> prenosi promjene iz sustava upravljanja na RF </w:t>
      </w:r>
      <w:proofErr w:type="spellStart"/>
      <w:r w:rsidRPr="00B00288">
        <w:rPr>
          <w:rFonts w:ascii="Arial" w:hAnsi="Arial"/>
          <w:sz w:val="22"/>
          <w:szCs w:val="22"/>
        </w:rPr>
        <w:t>kontrolere</w:t>
      </w:r>
      <w:proofErr w:type="spellEnd"/>
      <w:r w:rsidRPr="00B00288">
        <w:rPr>
          <w:rFonts w:ascii="Arial" w:hAnsi="Arial"/>
          <w:sz w:val="22"/>
          <w:szCs w:val="22"/>
        </w:rPr>
        <w:t>.</w:t>
      </w:r>
      <w:r>
        <w:rPr>
          <w:rFonts w:ascii="Arial" w:hAnsi="Arial"/>
          <w:sz w:val="22"/>
          <w:szCs w:val="22"/>
        </w:rPr>
        <w:t xml:space="preserve"> Komunikacija je bežična radio frekvencijska između mjesta upravljanja i RF mrežnog modula (pristupnika) i dalje od RF mrežnog pristupnika do pojedinih RF </w:t>
      </w:r>
      <w:proofErr w:type="spellStart"/>
      <w:r>
        <w:rPr>
          <w:rFonts w:ascii="Arial" w:hAnsi="Arial"/>
          <w:sz w:val="22"/>
          <w:szCs w:val="22"/>
        </w:rPr>
        <w:t>kontrolera</w:t>
      </w:r>
      <w:proofErr w:type="spellEnd"/>
      <w:r>
        <w:rPr>
          <w:rFonts w:ascii="Arial" w:hAnsi="Arial"/>
          <w:sz w:val="22"/>
          <w:szCs w:val="22"/>
        </w:rPr>
        <w:t xml:space="preserve"> na reflektorskim </w:t>
      </w:r>
      <w:proofErr w:type="spellStart"/>
      <w:r>
        <w:rPr>
          <w:rFonts w:ascii="Arial" w:hAnsi="Arial"/>
          <w:sz w:val="22"/>
          <w:szCs w:val="22"/>
        </w:rPr>
        <w:t>stupovim</w:t>
      </w:r>
      <w:proofErr w:type="spellEnd"/>
      <w:r>
        <w:rPr>
          <w:rFonts w:ascii="Arial" w:hAnsi="Arial"/>
          <w:sz w:val="22"/>
          <w:szCs w:val="22"/>
        </w:rPr>
        <w:t>. Za svaki reflektor potreban je po jedan upravljački elektronički uređaj</w:t>
      </w:r>
      <w:r w:rsidRPr="00C30E9C">
        <w:rPr>
          <w:rFonts w:ascii="Arial" w:hAnsi="Arial"/>
          <w:sz w:val="22"/>
          <w:szCs w:val="22"/>
        </w:rPr>
        <w:t xml:space="preserve"> </w:t>
      </w:r>
      <w:r>
        <w:rPr>
          <w:rFonts w:ascii="Arial" w:hAnsi="Arial"/>
          <w:sz w:val="22"/>
          <w:szCs w:val="22"/>
        </w:rPr>
        <w:t>s DALI prijenosnikom, koji je smješten u zaštitnu kutiju,  tip GB 236 (</w:t>
      </w:r>
      <w:proofErr w:type="spellStart"/>
      <w:r>
        <w:rPr>
          <w:rFonts w:ascii="Arial" w:hAnsi="Arial"/>
          <w:sz w:val="22"/>
          <w:szCs w:val="22"/>
        </w:rPr>
        <w:t>Gear</w:t>
      </w:r>
      <w:proofErr w:type="spellEnd"/>
      <w:r>
        <w:rPr>
          <w:rFonts w:ascii="Arial" w:hAnsi="Arial"/>
          <w:sz w:val="22"/>
          <w:szCs w:val="22"/>
        </w:rPr>
        <w:t xml:space="preserve"> </w:t>
      </w:r>
      <w:proofErr w:type="spellStart"/>
      <w:r>
        <w:rPr>
          <w:rFonts w:ascii="Arial" w:hAnsi="Arial"/>
          <w:sz w:val="22"/>
          <w:szCs w:val="22"/>
        </w:rPr>
        <w:t>Box</w:t>
      </w:r>
      <w:proofErr w:type="spellEnd"/>
      <w:r>
        <w:rPr>
          <w:rFonts w:ascii="Arial" w:hAnsi="Arial"/>
          <w:sz w:val="22"/>
          <w:szCs w:val="22"/>
        </w:rPr>
        <w:t xml:space="preserve">); IP 65. Stupanj mehaničke zaštite IP65 potreban je, budući se predviđa montirati na rasvjetni stup na posebno izrađenu konstrukciju. </w:t>
      </w:r>
    </w:p>
    <w:p w:rsidR="00366B80" w:rsidRDefault="00366B80" w:rsidP="00366B80">
      <w:pPr>
        <w:tabs>
          <w:tab w:val="left" w:pos="1134"/>
        </w:tabs>
        <w:ind w:left="-142"/>
        <w:jc w:val="both"/>
        <w:rPr>
          <w:rFonts w:ascii="Arial" w:hAnsi="Arial"/>
          <w:sz w:val="22"/>
          <w:szCs w:val="22"/>
        </w:rPr>
      </w:pPr>
      <w:r>
        <w:rPr>
          <w:rFonts w:ascii="Arial" w:hAnsi="Arial"/>
          <w:sz w:val="22"/>
          <w:szCs w:val="22"/>
        </w:rPr>
        <w:t>Komunikacija upravljačkog DALI signala odvija se žičano preko kabela između 4-</w:t>
      </w:r>
      <w:proofErr w:type="spellStart"/>
      <w:r>
        <w:rPr>
          <w:rFonts w:ascii="Arial" w:hAnsi="Arial"/>
          <w:sz w:val="22"/>
          <w:szCs w:val="22"/>
        </w:rPr>
        <w:t>polne</w:t>
      </w:r>
      <w:proofErr w:type="spellEnd"/>
      <w:r>
        <w:rPr>
          <w:rFonts w:ascii="Arial" w:hAnsi="Arial"/>
          <w:sz w:val="22"/>
          <w:szCs w:val="22"/>
        </w:rPr>
        <w:t xml:space="preserve"> stezaljke DALI ulaz/izlaz u uređaju GB 236 i RF </w:t>
      </w:r>
      <w:proofErr w:type="spellStart"/>
      <w:r>
        <w:rPr>
          <w:rFonts w:ascii="Arial" w:hAnsi="Arial"/>
          <w:sz w:val="22"/>
          <w:szCs w:val="22"/>
        </w:rPr>
        <w:t>kontrolera</w:t>
      </w:r>
      <w:proofErr w:type="spellEnd"/>
      <w:r>
        <w:rPr>
          <w:rFonts w:ascii="Arial" w:hAnsi="Arial"/>
          <w:sz w:val="22"/>
          <w:szCs w:val="22"/>
        </w:rPr>
        <w:t xml:space="preserve">. Na ukupno 19 rasvjetnih mjesta sa 3 do 5 reflektora, predviđa se postaviti 22 kom RF </w:t>
      </w:r>
      <w:proofErr w:type="spellStart"/>
      <w:r>
        <w:rPr>
          <w:rFonts w:ascii="Arial" w:hAnsi="Arial"/>
          <w:sz w:val="22"/>
          <w:szCs w:val="22"/>
        </w:rPr>
        <w:t>kontrolera</w:t>
      </w:r>
      <w:proofErr w:type="spellEnd"/>
      <w:r>
        <w:rPr>
          <w:rFonts w:ascii="Arial" w:hAnsi="Arial"/>
          <w:sz w:val="22"/>
          <w:szCs w:val="22"/>
        </w:rPr>
        <w:t xml:space="preserve"> u </w:t>
      </w:r>
      <w:proofErr w:type="spellStart"/>
      <w:r>
        <w:rPr>
          <w:rFonts w:ascii="Arial" w:hAnsi="Arial"/>
          <w:sz w:val="22"/>
          <w:szCs w:val="22"/>
        </w:rPr>
        <w:t>kučištu</w:t>
      </w:r>
      <w:proofErr w:type="spellEnd"/>
      <w:r>
        <w:rPr>
          <w:rFonts w:ascii="Arial" w:hAnsi="Arial"/>
          <w:sz w:val="22"/>
          <w:szCs w:val="22"/>
        </w:rPr>
        <w:t xml:space="preserve"> za montažu na stup. Od ukupnog broja RF </w:t>
      </w:r>
      <w:proofErr w:type="spellStart"/>
      <w:r>
        <w:rPr>
          <w:rFonts w:ascii="Arial" w:hAnsi="Arial"/>
          <w:sz w:val="22"/>
          <w:szCs w:val="22"/>
        </w:rPr>
        <w:t>kontrolera</w:t>
      </w:r>
      <w:proofErr w:type="spellEnd"/>
      <w:r>
        <w:rPr>
          <w:rFonts w:ascii="Arial" w:hAnsi="Arial"/>
          <w:sz w:val="22"/>
          <w:szCs w:val="22"/>
        </w:rPr>
        <w:t xml:space="preserve">, na 16 rasvjetnih mjesta montira se po jedan RF </w:t>
      </w:r>
      <w:proofErr w:type="spellStart"/>
      <w:r>
        <w:rPr>
          <w:rFonts w:ascii="Arial" w:hAnsi="Arial"/>
          <w:sz w:val="22"/>
          <w:szCs w:val="22"/>
        </w:rPr>
        <w:t>kontroler</w:t>
      </w:r>
      <w:proofErr w:type="spellEnd"/>
      <w:r>
        <w:rPr>
          <w:rFonts w:ascii="Arial" w:hAnsi="Arial"/>
          <w:sz w:val="22"/>
          <w:szCs w:val="22"/>
        </w:rPr>
        <w:t xml:space="preserve"> na kojeg se mogu spojiti 3-4 upravljačka uređaja GB 264, a na tri rasvjetna mjesta (stupa) gdje je predviđeno 5 reflektora, po dva RF </w:t>
      </w:r>
      <w:proofErr w:type="spellStart"/>
      <w:r>
        <w:rPr>
          <w:rFonts w:ascii="Arial" w:hAnsi="Arial"/>
          <w:sz w:val="22"/>
          <w:szCs w:val="22"/>
        </w:rPr>
        <w:t>kontrolera</w:t>
      </w:r>
      <w:proofErr w:type="spellEnd"/>
      <w:r>
        <w:rPr>
          <w:rFonts w:ascii="Arial" w:hAnsi="Arial"/>
          <w:sz w:val="22"/>
          <w:szCs w:val="22"/>
        </w:rPr>
        <w:t>. Iz upravljačkog uređaja GB 264 napajaju se LED reflektori preko priključno razvodne kutije tip CB-</w:t>
      </w:r>
      <w:proofErr w:type="spellStart"/>
      <w:r>
        <w:rPr>
          <w:rFonts w:ascii="Arial" w:hAnsi="Arial"/>
          <w:sz w:val="22"/>
          <w:szCs w:val="22"/>
        </w:rPr>
        <w:t>Connection</w:t>
      </w:r>
      <w:proofErr w:type="spellEnd"/>
      <w:r>
        <w:rPr>
          <w:rFonts w:ascii="Arial" w:hAnsi="Arial"/>
          <w:sz w:val="22"/>
          <w:szCs w:val="22"/>
        </w:rPr>
        <w:t xml:space="preserve"> </w:t>
      </w:r>
      <w:proofErr w:type="spellStart"/>
      <w:r>
        <w:rPr>
          <w:rFonts w:ascii="Arial" w:hAnsi="Arial"/>
          <w:sz w:val="22"/>
          <w:szCs w:val="22"/>
        </w:rPr>
        <w:t>Box</w:t>
      </w:r>
      <w:proofErr w:type="spellEnd"/>
      <w:r>
        <w:rPr>
          <w:rFonts w:ascii="Arial" w:hAnsi="Arial"/>
          <w:sz w:val="22"/>
          <w:szCs w:val="22"/>
        </w:rPr>
        <w:t xml:space="preserve"> 264 L, iz koje se  zasebnim kabelom povezuje svaki od dva panela sa 132 kom dioda LED reflektora.</w:t>
      </w:r>
    </w:p>
    <w:p w:rsidR="00366B80" w:rsidRDefault="00366B80" w:rsidP="00366B80">
      <w:pPr>
        <w:ind w:left="-142"/>
        <w:jc w:val="both"/>
        <w:rPr>
          <w:rFonts w:ascii="Arial" w:hAnsi="Arial"/>
          <w:sz w:val="22"/>
          <w:szCs w:val="22"/>
        </w:rPr>
      </w:pPr>
      <w:r>
        <w:rPr>
          <w:rFonts w:ascii="Arial" w:hAnsi="Arial"/>
          <w:sz w:val="22"/>
          <w:szCs w:val="22"/>
        </w:rPr>
        <w:t>Softver za upravljanje sustavom vanjske reflektorske rasvjete operativne obale (područje P1), dijeli se na dva dijela:</w:t>
      </w:r>
    </w:p>
    <w:p w:rsidR="00366B80" w:rsidRDefault="00366B80" w:rsidP="00366B80">
      <w:pPr>
        <w:ind w:left="-142"/>
        <w:jc w:val="both"/>
        <w:rPr>
          <w:rFonts w:ascii="Arial" w:hAnsi="Arial"/>
          <w:sz w:val="22"/>
          <w:szCs w:val="22"/>
        </w:rPr>
      </w:pPr>
    </w:p>
    <w:p w:rsidR="00366B80" w:rsidRDefault="00366B80" w:rsidP="00366B80">
      <w:pPr>
        <w:numPr>
          <w:ilvl w:val="0"/>
          <w:numId w:val="20"/>
        </w:numPr>
        <w:ind w:left="0" w:hanging="142"/>
        <w:jc w:val="both"/>
        <w:rPr>
          <w:rFonts w:ascii="Arial" w:hAnsi="Arial"/>
          <w:sz w:val="22"/>
          <w:szCs w:val="22"/>
        </w:rPr>
      </w:pPr>
      <w:r>
        <w:rPr>
          <w:rFonts w:ascii="Arial" w:hAnsi="Arial"/>
          <w:sz w:val="22"/>
          <w:szCs w:val="22"/>
        </w:rPr>
        <w:t>Centralni upravljački softver (CMS) kao središnji upravljački softver temeljen na WEB-u i bazi podataka za daljinsko praćenje i upravljanje.</w:t>
      </w:r>
    </w:p>
    <w:p w:rsidR="00366B80" w:rsidRDefault="00366B80" w:rsidP="00366B80">
      <w:pPr>
        <w:numPr>
          <w:ilvl w:val="0"/>
          <w:numId w:val="20"/>
        </w:numPr>
        <w:ind w:left="0" w:hanging="142"/>
        <w:jc w:val="both"/>
        <w:rPr>
          <w:rFonts w:ascii="Arial" w:hAnsi="Arial"/>
          <w:sz w:val="22"/>
          <w:szCs w:val="22"/>
        </w:rPr>
      </w:pPr>
      <w:r>
        <w:rPr>
          <w:rFonts w:ascii="Arial" w:hAnsi="Arial"/>
          <w:sz w:val="22"/>
          <w:szCs w:val="22"/>
        </w:rPr>
        <w:t xml:space="preserve">Upravljački </w:t>
      </w:r>
      <w:proofErr w:type="spellStart"/>
      <w:r>
        <w:rPr>
          <w:rFonts w:ascii="Arial" w:hAnsi="Arial"/>
          <w:sz w:val="22"/>
          <w:szCs w:val="22"/>
        </w:rPr>
        <w:t>softvare</w:t>
      </w:r>
      <w:proofErr w:type="spellEnd"/>
      <w:r>
        <w:rPr>
          <w:rFonts w:ascii="Arial" w:hAnsi="Arial"/>
          <w:sz w:val="22"/>
          <w:szCs w:val="22"/>
        </w:rPr>
        <w:t xml:space="preserve"> korisnika (UES) na WEB osnovi za PC, prijenosno računalo, </w:t>
      </w:r>
      <w:proofErr w:type="spellStart"/>
      <w:r>
        <w:rPr>
          <w:rFonts w:ascii="Arial" w:hAnsi="Arial"/>
          <w:sz w:val="22"/>
          <w:szCs w:val="22"/>
        </w:rPr>
        <w:t>tablet</w:t>
      </w:r>
      <w:proofErr w:type="spellEnd"/>
      <w:r>
        <w:rPr>
          <w:rFonts w:ascii="Arial" w:hAnsi="Arial"/>
          <w:sz w:val="22"/>
          <w:szCs w:val="22"/>
        </w:rPr>
        <w:t xml:space="preserve">, s mogućnošću vizualizacija na karti preko </w:t>
      </w:r>
      <w:proofErr w:type="spellStart"/>
      <w:r>
        <w:rPr>
          <w:rFonts w:ascii="Arial" w:hAnsi="Arial"/>
          <w:sz w:val="22"/>
          <w:szCs w:val="22"/>
        </w:rPr>
        <w:t>Googla</w:t>
      </w:r>
      <w:proofErr w:type="spellEnd"/>
      <w:r>
        <w:rPr>
          <w:rFonts w:ascii="Arial" w:hAnsi="Arial"/>
          <w:sz w:val="22"/>
          <w:szCs w:val="22"/>
        </w:rPr>
        <w:t xml:space="preserve">. </w:t>
      </w:r>
    </w:p>
    <w:p w:rsidR="00366B80" w:rsidRDefault="00366B80" w:rsidP="00366B80">
      <w:pPr>
        <w:pStyle w:val="ListParagraph"/>
        <w:rPr>
          <w:rFonts w:ascii="Arial" w:hAnsi="Arial"/>
          <w:sz w:val="22"/>
          <w:szCs w:val="22"/>
        </w:rPr>
      </w:pPr>
    </w:p>
    <w:p w:rsidR="00366B80" w:rsidRDefault="00366B80" w:rsidP="00366B80">
      <w:pPr>
        <w:ind w:left="-142"/>
        <w:jc w:val="both"/>
        <w:rPr>
          <w:rFonts w:ascii="Arial" w:hAnsi="Arial"/>
          <w:sz w:val="22"/>
          <w:szCs w:val="22"/>
        </w:rPr>
      </w:pPr>
      <w:r>
        <w:rPr>
          <w:rFonts w:ascii="Arial" w:hAnsi="Arial"/>
          <w:sz w:val="22"/>
          <w:szCs w:val="22"/>
        </w:rPr>
        <w:t xml:space="preserve">Softver se može koristiti po narudžbi CMS-a uz plaćanje naknade za licencu. CMS usluga je zasnovana na web servisu. Pristup se realizira preko zaporke. Softver se može instalirati ili poslati samo na temelju godišnje naknade  sa SAP kodovima dostupnim u SAP </w:t>
      </w:r>
      <w:proofErr w:type="spellStart"/>
      <w:r>
        <w:rPr>
          <w:rFonts w:ascii="Arial" w:hAnsi="Arial"/>
          <w:sz w:val="22"/>
          <w:szCs w:val="22"/>
        </w:rPr>
        <w:t>sutavu</w:t>
      </w:r>
      <w:proofErr w:type="spellEnd"/>
      <w:r>
        <w:rPr>
          <w:rFonts w:ascii="Arial" w:hAnsi="Arial"/>
          <w:sz w:val="22"/>
          <w:szCs w:val="22"/>
        </w:rPr>
        <w:t xml:space="preserve">. Godišnja naknada se naplaćuje po </w:t>
      </w:r>
      <w:proofErr w:type="spellStart"/>
      <w:r>
        <w:rPr>
          <w:rFonts w:ascii="Arial" w:hAnsi="Arial"/>
          <w:sz w:val="22"/>
          <w:szCs w:val="22"/>
        </w:rPr>
        <w:t>rasvetnom</w:t>
      </w:r>
      <w:proofErr w:type="spellEnd"/>
      <w:r>
        <w:rPr>
          <w:rFonts w:ascii="Arial" w:hAnsi="Arial"/>
          <w:sz w:val="22"/>
          <w:szCs w:val="22"/>
        </w:rPr>
        <w:t xml:space="preserve"> mjestu.</w:t>
      </w: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r>
        <w:rPr>
          <w:rFonts w:ascii="Arial" w:hAnsi="Arial"/>
          <w:sz w:val="22"/>
          <w:szCs w:val="22"/>
        </w:rPr>
        <w:t xml:space="preserve">Osnovne prednosti i karakteristike predviđenog </w:t>
      </w:r>
      <w:proofErr w:type="spellStart"/>
      <w:r>
        <w:rPr>
          <w:rFonts w:ascii="Arial" w:hAnsi="Arial"/>
          <w:sz w:val="22"/>
          <w:szCs w:val="22"/>
        </w:rPr>
        <w:t>InCity</w:t>
      </w:r>
      <w:proofErr w:type="spellEnd"/>
      <w:r>
        <w:rPr>
          <w:rFonts w:ascii="Arial" w:hAnsi="Arial"/>
          <w:sz w:val="22"/>
          <w:szCs w:val="22"/>
        </w:rPr>
        <w:t xml:space="preserve"> sustava za upravljanje rasvjetom, ogledaju se u pojedinačnom i skupnom uključivanju i smanjivanju nivoa </w:t>
      </w:r>
      <w:proofErr w:type="spellStart"/>
      <w:r>
        <w:rPr>
          <w:rFonts w:ascii="Arial" w:hAnsi="Arial"/>
          <w:sz w:val="22"/>
          <w:szCs w:val="22"/>
        </w:rPr>
        <w:t>rasvjetljenosti</w:t>
      </w:r>
      <w:proofErr w:type="spellEnd"/>
      <w:r>
        <w:rPr>
          <w:rFonts w:ascii="Arial" w:hAnsi="Arial"/>
          <w:sz w:val="22"/>
          <w:szCs w:val="22"/>
        </w:rPr>
        <w:t xml:space="preserve">, na temelju vremena, informacija o astronomskim satima i događajima, kao i u sustavnom praćenju što se odnosi na prikupljanje podataka (svjetiljke, </w:t>
      </w:r>
      <w:proofErr w:type="spellStart"/>
      <w:r>
        <w:rPr>
          <w:rFonts w:ascii="Arial" w:hAnsi="Arial"/>
          <w:sz w:val="22"/>
          <w:szCs w:val="22"/>
        </w:rPr>
        <w:t>predspojni</w:t>
      </w:r>
      <w:proofErr w:type="spellEnd"/>
      <w:r>
        <w:rPr>
          <w:rFonts w:ascii="Arial" w:hAnsi="Arial"/>
          <w:sz w:val="22"/>
          <w:szCs w:val="22"/>
        </w:rPr>
        <w:t xml:space="preserve"> uređaji, </w:t>
      </w:r>
      <w:proofErr w:type="spellStart"/>
      <w:r>
        <w:rPr>
          <w:rFonts w:ascii="Arial" w:hAnsi="Arial"/>
          <w:sz w:val="22"/>
          <w:szCs w:val="22"/>
        </w:rPr>
        <w:t>kontroleri</w:t>
      </w:r>
      <w:proofErr w:type="spellEnd"/>
      <w:r>
        <w:rPr>
          <w:rFonts w:ascii="Arial" w:hAnsi="Arial"/>
          <w:sz w:val="22"/>
          <w:szCs w:val="22"/>
        </w:rPr>
        <w:t xml:space="preserve">), u identifikaciji grešaka, izračunu utrošene energije, </w:t>
      </w:r>
      <w:proofErr w:type="spellStart"/>
      <w:r>
        <w:rPr>
          <w:rFonts w:ascii="Arial" w:hAnsi="Arial"/>
          <w:sz w:val="22"/>
          <w:szCs w:val="22"/>
        </w:rPr>
        <w:t>uštedema</w:t>
      </w:r>
      <w:proofErr w:type="spellEnd"/>
      <w:r>
        <w:rPr>
          <w:rFonts w:ascii="Arial" w:hAnsi="Arial"/>
          <w:sz w:val="22"/>
          <w:szCs w:val="22"/>
        </w:rPr>
        <w:t xml:space="preserve"> energije i CO</w:t>
      </w:r>
      <w:r w:rsidRPr="00303118">
        <w:rPr>
          <w:rFonts w:ascii="Arial" w:hAnsi="Arial"/>
          <w:sz w:val="22"/>
          <w:szCs w:val="22"/>
          <w:vertAlign w:val="subscript"/>
        </w:rPr>
        <w:t>2</w:t>
      </w:r>
      <w:r>
        <w:rPr>
          <w:rFonts w:ascii="Arial" w:hAnsi="Arial"/>
          <w:sz w:val="22"/>
          <w:szCs w:val="22"/>
        </w:rPr>
        <w:t xml:space="preserve"> . Ušteda energije je do 75% u odnosu na rasvjetu s rasvjetnim tijelima bez upravljačkih funkcija.</w:t>
      </w:r>
    </w:p>
    <w:p w:rsidR="00366B80" w:rsidRPr="008629AA" w:rsidRDefault="00366B80" w:rsidP="00366B80">
      <w:pPr>
        <w:tabs>
          <w:tab w:val="left" w:pos="1134"/>
        </w:tabs>
        <w:ind w:left="-142" w:right="-142"/>
        <w:jc w:val="both"/>
        <w:rPr>
          <w:rFonts w:ascii="Arial" w:hAnsi="Arial"/>
          <w:sz w:val="22"/>
          <w:szCs w:val="22"/>
        </w:rPr>
      </w:pPr>
    </w:p>
    <w:p w:rsidR="00366B80" w:rsidRDefault="00366B80" w:rsidP="00366B80">
      <w:pPr>
        <w:tabs>
          <w:tab w:val="left" w:pos="1134"/>
        </w:tabs>
        <w:ind w:left="-142" w:right="-142"/>
        <w:jc w:val="both"/>
        <w:rPr>
          <w:rFonts w:ascii="Arial" w:hAnsi="Arial"/>
          <w:sz w:val="22"/>
          <w:szCs w:val="22"/>
        </w:rPr>
      </w:pPr>
    </w:p>
    <w:p w:rsidR="00366B80" w:rsidRPr="00CB7865" w:rsidRDefault="00366B80" w:rsidP="00366B80">
      <w:pPr>
        <w:tabs>
          <w:tab w:val="left" w:pos="1134"/>
        </w:tabs>
        <w:ind w:left="-142" w:right="-947"/>
        <w:rPr>
          <w:rFonts w:ascii="Arial" w:hAnsi="Arial"/>
          <w:sz w:val="22"/>
          <w:szCs w:val="22"/>
        </w:rPr>
      </w:pPr>
      <w:r w:rsidRPr="00CB7865">
        <w:rPr>
          <w:rFonts w:ascii="Arial" w:hAnsi="Arial"/>
          <w:sz w:val="22"/>
          <w:szCs w:val="22"/>
        </w:rPr>
        <w:t>2.2.</w:t>
      </w:r>
      <w:r w:rsidRPr="00CB7865">
        <w:rPr>
          <w:rFonts w:ascii="Arial" w:hAnsi="Arial"/>
          <w:sz w:val="22"/>
          <w:szCs w:val="22"/>
        </w:rPr>
        <w:tab/>
        <w:t>Prikaz tehničkih mjera zaštite</w:t>
      </w:r>
      <w:r>
        <w:rPr>
          <w:rFonts w:ascii="Arial" w:hAnsi="Arial"/>
          <w:sz w:val="22"/>
          <w:szCs w:val="22"/>
        </w:rPr>
        <w:t xml:space="preserve"> na radu i zaštite od požara</w:t>
      </w:r>
    </w:p>
    <w:p w:rsidR="00366B80" w:rsidRDefault="00366B80" w:rsidP="00366B80">
      <w:pPr>
        <w:tabs>
          <w:tab w:val="left" w:pos="1134"/>
        </w:tabs>
        <w:ind w:left="-142" w:right="-947"/>
        <w:rPr>
          <w:rFonts w:ascii="Arial" w:hAnsi="Arial"/>
          <w:sz w:val="22"/>
          <w:szCs w:val="22"/>
        </w:rPr>
      </w:pPr>
    </w:p>
    <w:p w:rsidR="00366B80" w:rsidRPr="00CB7865" w:rsidRDefault="00366B80" w:rsidP="00366B80">
      <w:pPr>
        <w:tabs>
          <w:tab w:val="left" w:pos="1134"/>
        </w:tabs>
        <w:ind w:left="-142" w:right="-947"/>
        <w:rPr>
          <w:rFonts w:ascii="Arial" w:hAnsi="Arial"/>
          <w:sz w:val="22"/>
          <w:szCs w:val="22"/>
        </w:rPr>
      </w:pPr>
      <w:r w:rsidRPr="00CB7865">
        <w:rPr>
          <w:rFonts w:ascii="Arial" w:hAnsi="Arial"/>
          <w:sz w:val="22"/>
          <w:szCs w:val="22"/>
        </w:rPr>
        <w:t>2.2.</w:t>
      </w:r>
      <w:r>
        <w:rPr>
          <w:rFonts w:ascii="Arial" w:hAnsi="Arial"/>
          <w:sz w:val="22"/>
          <w:szCs w:val="22"/>
        </w:rPr>
        <w:t>1</w:t>
      </w:r>
      <w:r w:rsidRPr="00CB7865">
        <w:rPr>
          <w:rFonts w:ascii="Arial" w:hAnsi="Arial"/>
          <w:sz w:val="22"/>
          <w:szCs w:val="22"/>
        </w:rPr>
        <w:t>.</w:t>
      </w:r>
      <w:r w:rsidRPr="00CB7865">
        <w:rPr>
          <w:rFonts w:ascii="Arial" w:hAnsi="Arial"/>
          <w:sz w:val="22"/>
          <w:szCs w:val="22"/>
        </w:rPr>
        <w:tab/>
        <w:t>Prikaz predviđenih mjera zaštite na radu</w:t>
      </w:r>
    </w:p>
    <w:p w:rsidR="00366B80" w:rsidRDefault="00366B80" w:rsidP="00366B80">
      <w:pPr>
        <w:ind w:left="-142"/>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Da bi izvedeni radovi na temelju </w:t>
      </w:r>
      <w:r>
        <w:rPr>
          <w:rFonts w:ascii="Arial" w:hAnsi="Arial"/>
          <w:sz w:val="22"/>
          <w:szCs w:val="22"/>
        </w:rPr>
        <w:t>ovog</w:t>
      </w:r>
      <w:r w:rsidRPr="00CB7865">
        <w:rPr>
          <w:rFonts w:ascii="Arial" w:hAnsi="Arial"/>
          <w:sz w:val="22"/>
          <w:szCs w:val="22"/>
        </w:rPr>
        <w:t xml:space="preserve"> projekta </w:t>
      </w:r>
      <w:r>
        <w:rPr>
          <w:rFonts w:ascii="Arial" w:hAnsi="Arial"/>
          <w:sz w:val="22"/>
          <w:szCs w:val="22"/>
        </w:rPr>
        <w:t xml:space="preserve">rekonstrukcije vanjske </w:t>
      </w:r>
      <w:r w:rsidRPr="00CB7865">
        <w:rPr>
          <w:rFonts w:ascii="Arial" w:hAnsi="Arial"/>
          <w:sz w:val="22"/>
          <w:szCs w:val="22"/>
        </w:rPr>
        <w:t xml:space="preserve">rasvjete </w:t>
      </w:r>
      <w:r>
        <w:rPr>
          <w:rFonts w:ascii="Arial" w:hAnsi="Arial"/>
          <w:sz w:val="22"/>
          <w:szCs w:val="22"/>
        </w:rPr>
        <w:t>cjelokupnog područja</w:t>
      </w:r>
      <w:r w:rsidRPr="00CB7865">
        <w:rPr>
          <w:rFonts w:ascii="Arial" w:hAnsi="Arial"/>
          <w:sz w:val="22"/>
          <w:szCs w:val="22"/>
        </w:rPr>
        <w:t xml:space="preserve"> luke </w:t>
      </w:r>
      <w:r>
        <w:rPr>
          <w:rFonts w:ascii="Arial" w:hAnsi="Arial"/>
          <w:sz w:val="22"/>
          <w:szCs w:val="22"/>
        </w:rPr>
        <w:t xml:space="preserve">Dubrovnik </w:t>
      </w:r>
      <w:r w:rsidRPr="00CB7865">
        <w:rPr>
          <w:rFonts w:ascii="Arial" w:hAnsi="Arial"/>
          <w:sz w:val="22"/>
          <w:szCs w:val="22"/>
        </w:rPr>
        <w:t>u Gružu, udovoljili zahtjevima što ih utvrđuju pravila zaštite na radu, projektant  daje rješenj</w:t>
      </w:r>
      <w:r>
        <w:rPr>
          <w:rFonts w:ascii="Arial" w:hAnsi="Arial"/>
          <w:sz w:val="22"/>
          <w:szCs w:val="22"/>
        </w:rPr>
        <w:t>a</w:t>
      </w:r>
      <w:r w:rsidRPr="00CB7865">
        <w:rPr>
          <w:rFonts w:ascii="Arial" w:hAnsi="Arial"/>
          <w:sz w:val="22"/>
          <w:szCs w:val="22"/>
        </w:rPr>
        <w:t xml:space="preserve"> kojih se izvođač mora strogo pridržavati.</w:t>
      </w:r>
    </w:p>
    <w:p w:rsidR="00366B80" w:rsidRPr="00CB7865" w:rsidRDefault="00366B80" w:rsidP="00366B80">
      <w:pPr>
        <w:ind w:left="-142"/>
        <w:jc w:val="both"/>
        <w:rPr>
          <w:rFonts w:ascii="Arial" w:hAnsi="Arial"/>
          <w:sz w:val="22"/>
          <w:szCs w:val="22"/>
        </w:rPr>
      </w:pPr>
      <w:r w:rsidRPr="00CB7865">
        <w:rPr>
          <w:rFonts w:ascii="Arial" w:hAnsi="Arial"/>
          <w:sz w:val="22"/>
          <w:szCs w:val="22"/>
        </w:rPr>
        <w:lastRenderedPageBreak/>
        <w:t xml:space="preserve">Radove izvesti točno prema projektu, a detalje koji eventualno nisu definirani projektom izvesti prema </w:t>
      </w:r>
      <w:proofErr w:type="spellStart"/>
      <w:r w:rsidRPr="00CB7865">
        <w:rPr>
          <w:rFonts w:ascii="Arial" w:hAnsi="Arial"/>
          <w:sz w:val="22"/>
          <w:szCs w:val="22"/>
        </w:rPr>
        <w:t>važečim</w:t>
      </w:r>
      <w:proofErr w:type="spellEnd"/>
      <w:r w:rsidRPr="00CB7865">
        <w:rPr>
          <w:rFonts w:ascii="Arial" w:hAnsi="Arial"/>
          <w:sz w:val="22"/>
          <w:szCs w:val="22"/>
        </w:rPr>
        <w:t xml:space="preserve"> tehničkim propisima, a  na temelju prethodnog dogovora s projektantom i nadzornim inženjerom.</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Zaštita od preopterećenja i razornog djelovanja struje kratkog spoja izvedena je ugradbom odgovarajućih automatskih zaštitnih prekidača na početku kabela sa strujama odabranim u zavisnosti od očekivanog i dozvoljenog strujnog </w:t>
      </w:r>
      <w:proofErr w:type="spellStart"/>
      <w:r w:rsidRPr="00CB7865">
        <w:rPr>
          <w:rFonts w:ascii="Arial" w:hAnsi="Arial"/>
          <w:sz w:val="22"/>
          <w:szCs w:val="22"/>
        </w:rPr>
        <w:t>opterečenja</w:t>
      </w:r>
      <w:proofErr w:type="spellEnd"/>
      <w:r w:rsidRPr="00CB7865">
        <w:rPr>
          <w:rFonts w:ascii="Arial" w:hAnsi="Arial"/>
          <w:sz w:val="22"/>
          <w:szCs w:val="22"/>
        </w:rPr>
        <w:t xml:space="preserve">  pojedinog kabela.</w:t>
      </w:r>
    </w:p>
    <w:p w:rsidR="00366B80" w:rsidRPr="00CB7865" w:rsidRDefault="00366B80" w:rsidP="00366B80">
      <w:pPr>
        <w:ind w:left="-142"/>
        <w:jc w:val="both"/>
        <w:rPr>
          <w:rFonts w:ascii="Arial" w:hAnsi="Arial"/>
          <w:sz w:val="22"/>
          <w:szCs w:val="22"/>
        </w:rPr>
      </w:pPr>
      <w:r w:rsidRPr="00CB7865">
        <w:rPr>
          <w:rFonts w:ascii="Arial" w:hAnsi="Arial"/>
          <w:sz w:val="22"/>
          <w:szCs w:val="22"/>
        </w:rPr>
        <w:t>Presjeci su uzeti prema maksimalnim snagama i kontrolirani su obzirom na pad napona.</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Zaštita od udara električne struje izvedena je tako da su svi neizolirani dijelovi, a koji </w:t>
      </w:r>
      <w:proofErr w:type="spellStart"/>
      <w:r w:rsidRPr="00CB7865">
        <w:rPr>
          <w:rFonts w:ascii="Arial" w:hAnsi="Arial"/>
          <w:sz w:val="22"/>
          <w:szCs w:val="22"/>
        </w:rPr>
        <w:t>usljed</w:t>
      </w:r>
      <w:proofErr w:type="spellEnd"/>
      <w:r w:rsidRPr="00CB7865">
        <w:rPr>
          <w:rFonts w:ascii="Arial" w:hAnsi="Arial"/>
          <w:sz w:val="22"/>
          <w:szCs w:val="22"/>
        </w:rPr>
        <w:t xml:space="preserve"> greške ili kvara mogu doći pod napo</w:t>
      </w:r>
      <w:r>
        <w:rPr>
          <w:rFonts w:ascii="Arial" w:hAnsi="Arial"/>
          <w:sz w:val="22"/>
          <w:szCs w:val="22"/>
        </w:rPr>
        <w:t xml:space="preserve">n, smješteni u  razvodne ormare i </w:t>
      </w:r>
      <w:proofErr w:type="spellStart"/>
      <w:r>
        <w:rPr>
          <w:rFonts w:ascii="Arial" w:hAnsi="Arial"/>
          <w:sz w:val="22"/>
          <w:szCs w:val="22"/>
        </w:rPr>
        <w:t>kučišta</w:t>
      </w:r>
      <w:proofErr w:type="spellEnd"/>
      <w:r>
        <w:rPr>
          <w:rFonts w:ascii="Arial" w:hAnsi="Arial"/>
          <w:sz w:val="22"/>
          <w:szCs w:val="22"/>
        </w:rPr>
        <w:t xml:space="preserve"> kutija s uređajima pod naponom</w:t>
      </w:r>
      <w:r w:rsidRPr="00CB7865">
        <w:rPr>
          <w:rFonts w:ascii="Arial" w:hAnsi="Arial"/>
          <w:sz w:val="22"/>
          <w:szCs w:val="22"/>
        </w:rPr>
        <w:t xml:space="preserve"> kojima se ne može pristupiti u </w:t>
      </w:r>
      <w:r>
        <w:rPr>
          <w:rFonts w:ascii="Arial" w:hAnsi="Arial"/>
          <w:sz w:val="22"/>
          <w:szCs w:val="22"/>
        </w:rPr>
        <w:t>redov</w:t>
      </w:r>
      <w:r w:rsidRPr="00CB7865">
        <w:rPr>
          <w:rFonts w:ascii="Arial" w:hAnsi="Arial"/>
          <w:sz w:val="22"/>
          <w:szCs w:val="22"/>
        </w:rPr>
        <w:t>nim uvjetima rada.</w:t>
      </w:r>
    </w:p>
    <w:p w:rsidR="00366B80" w:rsidRPr="00CB7865" w:rsidRDefault="00366B80" w:rsidP="00366B80">
      <w:pPr>
        <w:ind w:left="-142"/>
        <w:jc w:val="both"/>
        <w:rPr>
          <w:rFonts w:ascii="Arial" w:hAnsi="Arial"/>
          <w:sz w:val="22"/>
          <w:szCs w:val="22"/>
        </w:rPr>
      </w:pPr>
      <w:r w:rsidRPr="00CB7865">
        <w:rPr>
          <w:rFonts w:ascii="Arial" w:hAnsi="Arial"/>
          <w:sz w:val="22"/>
          <w:szCs w:val="22"/>
        </w:rPr>
        <w:t>Na vrata svih razvodnih ormara  mora se staviti oznaka “Opasnost - napon”.</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Sve dijelove električne instalacije koji mogu biti </w:t>
      </w:r>
      <w:proofErr w:type="spellStart"/>
      <w:r w:rsidRPr="00CB7865">
        <w:rPr>
          <w:rFonts w:ascii="Arial" w:hAnsi="Arial"/>
          <w:sz w:val="22"/>
          <w:szCs w:val="22"/>
        </w:rPr>
        <w:t>oštečeni</w:t>
      </w:r>
      <w:proofErr w:type="spellEnd"/>
      <w:r w:rsidRPr="00CB7865">
        <w:rPr>
          <w:rFonts w:ascii="Arial" w:hAnsi="Arial"/>
          <w:sz w:val="22"/>
          <w:szCs w:val="22"/>
        </w:rPr>
        <w:t xml:space="preserve">, štititi rebrastim cijevima od tvrde i elastične poliesterske mase odgovarajućeg promjera, čeličnim cijevima ili metalnim kabelskim </w:t>
      </w:r>
      <w:r>
        <w:rPr>
          <w:rFonts w:ascii="Arial" w:hAnsi="Arial"/>
          <w:sz w:val="22"/>
          <w:szCs w:val="22"/>
        </w:rPr>
        <w:t>kanalima</w:t>
      </w:r>
      <w:r w:rsidRPr="00CB7865">
        <w:rPr>
          <w:rFonts w:ascii="Arial" w:hAnsi="Arial"/>
          <w:sz w:val="22"/>
          <w:szCs w:val="22"/>
        </w:rPr>
        <w:t xml:space="preserve"> s poklopcima.</w:t>
      </w:r>
    </w:p>
    <w:p w:rsidR="00366B80" w:rsidRPr="00CB7865" w:rsidRDefault="00366B80" w:rsidP="00366B80">
      <w:pPr>
        <w:ind w:left="-142"/>
        <w:jc w:val="both"/>
        <w:rPr>
          <w:rFonts w:ascii="Arial" w:hAnsi="Arial"/>
          <w:sz w:val="22"/>
          <w:szCs w:val="22"/>
        </w:rPr>
      </w:pPr>
      <w:r w:rsidRPr="00CB7865">
        <w:rPr>
          <w:rFonts w:ascii="Arial" w:hAnsi="Arial"/>
          <w:sz w:val="22"/>
          <w:szCs w:val="22"/>
        </w:rPr>
        <w:t>Zaštita od previsokog napona dodira izvedena je u TN-C sustavu mreže i uzemljenja.</w:t>
      </w:r>
    </w:p>
    <w:p w:rsidR="00366B80" w:rsidRPr="00CB7865" w:rsidRDefault="00366B80" w:rsidP="00366B80">
      <w:pPr>
        <w:ind w:left="-142"/>
        <w:jc w:val="both"/>
        <w:rPr>
          <w:rFonts w:ascii="Arial" w:hAnsi="Arial"/>
          <w:sz w:val="22"/>
          <w:szCs w:val="22"/>
        </w:rPr>
      </w:pPr>
      <w:r w:rsidRPr="00CB7865">
        <w:rPr>
          <w:rFonts w:ascii="Arial" w:hAnsi="Arial"/>
          <w:sz w:val="22"/>
          <w:szCs w:val="22"/>
        </w:rPr>
        <w:t>Nakon puštanja pod napon treba izvršiti mjerenje otpora uzemljenja, provjeriti efikasnos</w:t>
      </w:r>
      <w:r>
        <w:rPr>
          <w:rFonts w:ascii="Arial" w:hAnsi="Arial"/>
          <w:sz w:val="22"/>
          <w:szCs w:val="22"/>
        </w:rPr>
        <w:t>t</w:t>
      </w:r>
      <w:r w:rsidRPr="00CB7865">
        <w:rPr>
          <w:rFonts w:ascii="Arial" w:hAnsi="Arial"/>
          <w:sz w:val="22"/>
          <w:szCs w:val="22"/>
        </w:rPr>
        <w:t xml:space="preserve"> zaštite od previsokog napona dodira u TN-S   sustavu.</w:t>
      </w:r>
    </w:p>
    <w:p w:rsidR="00366B80" w:rsidRPr="00CB7865" w:rsidRDefault="00366B80" w:rsidP="00366B80">
      <w:pPr>
        <w:ind w:left="-142"/>
        <w:jc w:val="both"/>
        <w:rPr>
          <w:rFonts w:ascii="Arial" w:hAnsi="Arial"/>
          <w:sz w:val="22"/>
          <w:szCs w:val="22"/>
        </w:rPr>
      </w:pPr>
      <w:r w:rsidRPr="00CB7865">
        <w:rPr>
          <w:rFonts w:ascii="Arial" w:hAnsi="Arial"/>
          <w:sz w:val="22"/>
          <w:szCs w:val="22"/>
        </w:rPr>
        <w:t>Mjere zaštite na radu obuhvaćaju pripremne, izvedbene, završne i radove na održavanju niskonaponske mreže i uređaja.</w:t>
      </w:r>
    </w:p>
    <w:p w:rsidR="00366B80" w:rsidRPr="00CB7865" w:rsidRDefault="00366B80" w:rsidP="00366B80">
      <w:pPr>
        <w:ind w:left="-142"/>
        <w:jc w:val="both"/>
        <w:rPr>
          <w:rFonts w:ascii="Arial" w:hAnsi="Arial"/>
          <w:sz w:val="22"/>
          <w:szCs w:val="22"/>
        </w:rPr>
      </w:pPr>
      <w:r w:rsidRPr="00CB7865">
        <w:rPr>
          <w:rFonts w:ascii="Arial" w:hAnsi="Arial"/>
          <w:sz w:val="22"/>
          <w:szCs w:val="22"/>
        </w:rPr>
        <w:t>Pripremni radovi obuhvaćaju organizaciju gradilišta, transporta ljudi, materijala i alata na gradilište.</w:t>
      </w:r>
    </w:p>
    <w:p w:rsidR="00366B80" w:rsidRPr="00CB7865" w:rsidRDefault="00366B80" w:rsidP="00366B80">
      <w:pPr>
        <w:ind w:left="-142"/>
        <w:jc w:val="both"/>
        <w:rPr>
          <w:rFonts w:ascii="Arial" w:hAnsi="Arial"/>
          <w:sz w:val="22"/>
          <w:szCs w:val="22"/>
        </w:rPr>
      </w:pPr>
      <w:proofErr w:type="spellStart"/>
      <w:r w:rsidRPr="00CB7865">
        <w:rPr>
          <w:rFonts w:ascii="Arial" w:hAnsi="Arial"/>
          <w:sz w:val="22"/>
          <w:szCs w:val="22"/>
        </w:rPr>
        <w:t>Izv</w:t>
      </w:r>
      <w:r>
        <w:rPr>
          <w:rFonts w:ascii="Arial" w:hAnsi="Arial"/>
          <w:sz w:val="22"/>
          <w:szCs w:val="22"/>
        </w:rPr>
        <w:t>ođenj</w:t>
      </w:r>
      <w:proofErr w:type="spellEnd"/>
      <w:r w:rsidRPr="00CB7865">
        <w:rPr>
          <w:rFonts w:ascii="Arial" w:hAnsi="Arial"/>
          <w:sz w:val="22"/>
          <w:szCs w:val="22"/>
        </w:rPr>
        <w:t xml:space="preserve"> radov</w:t>
      </w:r>
      <w:r>
        <w:rPr>
          <w:rFonts w:ascii="Arial" w:hAnsi="Arial"/>
          <w:sz w:val="22"/>
          <w:szCs w:val="22"/>
        </w:rPr>
        <w:t>a</w:t>
      </w:r>
      <w:r w:rsidRPr="00CB7865">
        <w:rPr>
          <w:rFonts w:ascii="Arial" w:hAnsi="Arial"/>
          <w:sz w:val="22"/>
          <w:szCs w:val="22"/>
        </w:rPr>
        <w:t xml:space="preserve"> zahtijeva </w:t>
      </w:r>
      <w:r>
        <w:rPr>
          <w:rFonts w:ascii="Arial" w:hAnsi="Arial"/>
          <w:sz w:val="22"/>
          <w:szCs w:val="22"/>
        </w:rPr>
        <w:t xml:space="preserve">obvezno </w:t>
      </w:r>
      <w:r w:rsidRPr="00CB7865">
        <w:rPr>
          <w:rFonts w:ascii="Arial" w:hAnsi="Arial"/>
          <w:sz w:val="22"/>
          <w:szCs w:val="22"/>
        </w:rPr>
        <w:t>korištenje osobnih zaštitnih sredstava</w:t>
      </w:r>
      <w:r>
        <w:rPr>
          <w:rFonts w:ascii="Arial" w:hAnsi="Arial"/>
          <w:sz w:val="22"/>
          <w:szCs w:val="22"/>
        </w:rPr>
        <w:t>,</w:t>
      </w:r>
      <w:r w:rsidRPr="00CB7865">
        <w:rPr>
          <w:rFonts w:ascii="Arial" w:hAnsi="Arial"/>
          <w:sz w:val="22"/>
          <w:szCs w:val="22"/>
        </w:rPr>
        <w:t xml:space="preserve"> odgovarajućeg alata</w:t>
      </w:r>
      <w:r>
        <w:rPr>
          <w:rFonts w:ascii="Arial" w:hAnsi="Arial"/>
          <w:sz w:val="22"/>
          <w:szCs w:val="22"/>
        </w:rPr>
        <w:t xml:space="preserve"> i</w:t>
      </w:r>
      <w:r w:rsidRPr="00CB7865">
        <w:rPr>
          <w:rFonts w:ascii="Arial" w:hAnsi="Arial"/>
          <w:sz w:val="22"/>
          <w:szCs w:val="22"/>
        </w:rPr>
        <w:t xml:space="preserve"> </w:t>
      </w:r>
      <w:r>
        <w:rPr>
          <w:rFonts w:ascii="Arial" w:hAnsi="Arial"/>
          <w:sz w:val="22"/>
          <w:szCs w:val="22"/>
        </w:rPr>
        <w:t>mehanizacije sa zaštitnom ogradom hidrauličnih platformi za radove demontaže i montaže na visinama iznad 4 m.</w:t>
      </w:r>
    </w:p>
    <w:p w:rsidR="00366B80" w:rsidRDefault="00366B80" w:rsidP="00366B80">
      <w:pPr>
        <w:ind w:left="-142"/>
        <w:jc w:val="both"/>
        <w:rPr>
          <w:rFonts w:ascii="Arial" w:hAnsi="Arial"/>
          <w:sz w:val="22"/>
          <w:szCs w:val="22"/>
        </w:rPr>
      </w:pPr>
      <w:r w:rsidRPr="00CB7865">
        <w:rPr>
          <w:rFonts w:ascii="Arial" w:hAnsi="Arial"/>
          <w:sz w:val="22"/>
          <w:szCs w:val="22"/>
        </w:rPr>
        <w:t xml:space="preserve">Završni radovi obuhvaćaju </w:t>
      </w:r>
      <w:r>
        <w:rPr>
          <w:rFonts w:ascii="Arial" w:hAnsi="Arial"/>
          <w:sz w:val="22"/>
          <w:szCs w:val="22"/>
        </w:rPr>
        <w:t>čišćenje gradilišta</w:t>
      </w:r>
      <w:r w:rsidRPr="00CB7865">
        <w:rPr>
          <w:rFonts w:ascii="Arial" w:hAnsi="Arial"/>
          <w:sz w:val="22"/>
          <w:szCs w:val="22"/>
        </w:rPr>
        <w:t xml:space="preserve"> </w:t>
      </w:r>
      <w:r>
        <w:rPr>
          <w:rFonts w:ascii="Arial" w:hAnsi="Arial"/>
          <w:sz w:val="22"/>
          <w:szCs w:val="22"/>
        </w:rPr>
        <w:t xml:space="preserve">s odvozom i propisno zbrinjavanje </w:t>
      </w:r>
      <w:proofErr w:type="spellStart"/>
      <w:r>
        <w:rPr>
          <w:rFonts w:ascii="Arial" w:hAnsi="Arial"/>
          <w:sz w:val="22"/>
          <w:szCs w:val="22"/>
        </w:rPr>
        <w:t>demontiranih</w:t>
      </w:r>
      <w:r w:rsidRPr="00CB7865">
        <w:rPr>
          <w:rFonts w:ascii="Arial" w:hAnsi="Arial"/>
          <w:sz w:val="22"/>
          <w:szCs w:val="22"/>
        </w:rPr>
        <w:t>i</w:t>
      </w:r>
      <w:r>
        <w:rPr>
          <w:rFonts w:ascii="Arial" w:hAnsi="Arial"/>
          <w:sz w:val="22"/>
          <w:szCs w:val="22"/>
        </w:rPr>
        <w:t>h</w:t>
      </w:r>
      <w:proofErr w:type="spellEnd"/>
      <w:r>
        <w:rPr>
          <w:rFonts w:ascii="Arial" w:hAnsi="Arial"/>
          <w:sz w:val="22"/>
          <w:szCs w:val="22"/>
        </w:rPr>
        <w:t xml:space="preserve"> svjetiljki uređaja i elemenata kao i pripremne aktivnosti za ispitivanje, probni pogon i primopredaju izvedenih radova.</w:t>
      </w:r>
    </w:p>
    <w:p w:rsidR="00366B80"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Prilikom izvedbe radova na niskonaponskoj mreži nužno je pridržavati se pet osnovnih pravila sigurnosti :</w:t>
      </w:r>
    </w:p>
    <w:p w:rsidR="00366B80" w:rsidRPr="00CB7865" w:rsidRDefault="00366B80" w:rsidP="00366B80">
      <w:pPr>
        <w:ind w:left="-142"/>
        <w:jc w:val="both"/>
        <w:rPr>
          <w:rFonts w:ascii="Arial" w:hAnsi="Arial"/>
          <w:sz w:val="22"/>
          <w:szCs w:val="22"/>
        </w:rPr>
      </w:pPr>
      <w:r w:rsidRPr="00CB7865">
        <w:rPr>
          <w:rFonts w:ascii="Arial" w:hAnsi="Arial"/>
          <w:sz w:val="22"/>
          <w:szCs w:val="22"/>
        </w:rPr>
        <w:t>1) vidljivo odvajanje od napona</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2) </w:t>
      </w:r>
      <w:proofErr w:type="spellStart"/>
      <w:r w:rsidRPr="00CB7865">
        <w:rPr>
          <w:rFonts w:ascii="Arial" w:hAnsi="Arial"/>
          <w:sz w:val="22"/>
          <w:szCs w:val="22"/>
        </w:rPr>
        <w:t>spriječavanje</w:t>
      </w:r>
      <w:proofErr w:type="spellEnd"/>
      <w:r w:rsidRPr="00CB7865">
        <w:rPr>
          <w:rFonts w:ascii="Arial" w:hAnsi="Arial"/>
          <w:sz w:val="22"/>
          <w:szCs w:val="22"/>
        </w:rPr>
        <w:t xml:space="preserve"> ponovnog uključenja</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3) provjera </w:t>
      </w:r>
      <w:proofErr w:type="spellStart"/>
      <w:r w:rsidRPr="00CB7865">
        <w:rPr>
          <w:rFonts w:ascii="Arial" w:hAnsi="Arial"/>
          <w:sz w:val="22"/>
          <w:szCs w:val="22"/>
        </w:rPr>
        <w:t>beznaponskog</w:t>
      </w:r>
      <w:proofErr w:type="spellEnd"/>
      <w:r w:rsidRPr="00CB7865">
        <w:rPr>
          <w:rFonts w:ascii="Arial" w:hAnsi="Arial"/>
          <w:sz w:val="22"/>
          <w:szCs w:val="22"/>
        </w:rPr>
        <w:t xml:space="preserve"> stanja</w:t>
      </w:r>
    </w:p>
    <w:p w:rsidR="00366B80" w:rsidRPr="00CB7865" w:rsidRDefault="00366B80" w:rsidP="00366B80">
      <w:pPr>
        <w:ind w:left="-142"/>
        <w:jc w:val="both"/>
        <w:rPr>
          <w:rFonts w:ascii="Arial" w:hAnsi="Arial"/>
          <w:sz w:val="22"/>
          <w:szCs w:val="22"/>
        </w:rPr>
      </w:pPr>
      <w:r w:rsidRPr="00CB7865">
        <w:rPr>
          <w:rFonts w:ascii="Arial" w:hAnsi="Arial"/>
          <w:sz w:val="22"/>
          <w:szCs w:val="22"/>
        </w:rPr>
        <w:t>4) uzemljenje i kratko spajanje mreže</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5) ograđivanje od dijelova pod naponom </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1) Vidljivo odvajanje mreže od napona vrši se u priključnim ormarima vađenjem osigurača pojedinog strujnog kruga, odnosno iskapčanjem </w:t>
      </w:r>
      <w:r>
        <w:rPr>
          <w:rFonts w:ascii="Arial" w:hAnsi="Arial"/>
          <w:sz w:val="22"/>
          <w:szCs w:val="22"/>
        </w:rPr>
        <w:t xml:space="preserve">glavnog </w:t>
      </w:r>
      <w:r w:rsidRPr="00CB7865">
        <w:rPr>
          <w:rFonts w:ascii="Arial" w:hAnsi="Arial"/>
          <w:sz w:val="22"/>
          <w:szCs w:val="22"/>
        </w:rPr>
        <w:t>prekidača.</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2) </w:t>
      </w:r>
      <w:proofErr w:type="spellStart"/>
      <w:r w:rsidRPr="00CB7865">
        <w:rPr>
          <w:rFonts w:ascii="Arial" w:hAnsi="Arial"/>
          <w:sz w:val="22"/>
          <w:szCs w:val="22"/>
        </w:rPr>
        <w:t>spriječavanje</w:t>
      </w:r>
      <w:proofErr w:type="spellEnd"/>
      <w:r w:rsidRPr="00CB7865">
        <w:rPr>
          <w:rFonts w:ascii="Arial" w:hAnsi="Arial"/>
          <w:sz w:val="22"/>
          <w:szCs w:val="22"/>
        </w:rPr>
        <w:t xml:space="preserve"> ponovnog uključenja vrši se postavljanjem upozorenja "NE UKAPČAJ" i, ukoliko je moguće, zaključavanjem upravljačkog mehanizma.</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3) Provjeru </w:t>
      </w:r>
      <w:proofErr w:type="spellStart"/>
      <w:r w:rsidRPr="00CB7865">
        <w:rPr>
          <w:rFonts w:ascii="Arial" w:hAnsi="Arial"/>
          <w:sz w:val="22"/>
          <w:szCs w:val="22"/>
        </w:rPr>
        <w:t>beznaponskog</w:t>
      </w:r>
      <w:proofErr w:type="spellEnd"/>
      <w:r w:rsidRPr="00CB7865">
        <w:rPr>
          <w:rFonts w:ascii="Arial" w:hAnsi="Arial"/>
          <w:sz w:val="22"/>
          <w:szCs w:val="22"/>
        </w:rPr>
        <w:t xml:space="preserve"> stanja izvršiti u svim fazama na mjestu iskapčanja i na mjestu rada </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4) Uzemljenje i kratko spajanje treba izvesti na mjestu </w:t>
      </w:r>
      <w:proofErr w:type="spellStart"/>
      <w:r w:rsidRPr="00CB7865">
        <w:rPr>
          <w:rFonts w:ascii="Arial" w:hAnsi="Arial"/>
          <w:sz w:val="22"/>
          <w:szCs w:val="22"/>
        </w:rPr>
        <w:t>isklopa</w:t>
      </w:r>
      <w:proofErr w:type="spellEnd"/>
      <w:r w:rsidRPr="00CB7865">
        <w:rPr>
          <w:rFonts w:ascii="Arial" w:hAnsi="Arial"/>
          <w:sz w:val="22"/>
          <w:szCs w:val="22"/>
        </w:rPr>
        <w:t xml:space="preserve"> te ispred i iza mjesta rada gledano u smjeru napajanja. Ukoliko u blizini nema dijelova napajanja, naprave za uzemljenje pričvršćuju se ručno uz uporabu osnovnih zaštitnih sredstava. </w:t>
      </w:r>
    </w:p>
    <w:p w:rsidR="00366B80"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5) Mjera ograđivanja dijelova pod naponom provodi se tamo gdje se radovi vrše u blizini drugog postrojenja, koje je pod naponom.</w:t>
      </w:r>
    </w:p>
    <w:p w:rsidR="00366B80"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Sva mjesta spajanja i razdvajanja strujnih krugova isključivo smiju biti smještena u razvodnim kutijama, </w:t>
      </w:r>
      <w:proofErr w:type="spellStart"/>
      <w:r w:rsidRPr="00CB7865">
        <w:rPr>
          <w:rFonts w:ascii="Arial" w:hAnsi="Arial"/>
          <w:sz w:val="22"/>
          <w:szCs w:val="22"/>
        </w:rPr>
        <w:t>kučištima</w:t>
      </w:r>
      <w:proofErr w:type="spellEnd"/>
      <w:r w:rsidRPr="00CB7865">
        <w:rPr>
          <w:rFonts w:ascii="Arial" w:hAnsi="Arial"/>
          <w:sz w:val="22"/>
          <w:szCs w:val="22"/>
        </w:rPr>
        <w:t xml:space="preserve"> trošila i razvodnim ormarima.</w:t>
      </w:r>
    </w:p>
    <w:p w:rsidR="00366B80" w:rsidRPr="00CB7865" w:rsidRDefault="00366B80" w:rsidP="00366B80">
      <w:pPr>
        <w:ind w:left="-142"/>
        <w:jc w:val="both"/>
        <w:rPr>
          <w:rFonts w:ascii="Arial" w:hAnsi="Arial"/>
          <w:sz w:val="22"/>
          <w:szCs w:val="22"/>
        </w:rPr>
      </w:pPr>
      <w:r w:rsidRPr="00CB7865">
        <w:rPr>
          <w:rFonts w:ascii="Arial" w:hAnsi="Arial"/>
          <w:sz w:val="22"/>
          <w:szCs w:val="22"/>
        </w:rPr>
        <w:t>Zaštita od previsokog napona dodira izvedena je u TN-C sustavu mreže i uzemljenja, a osigurana je sustavom zaštite automatskim isključenjem napajanja.</w:t>
      </w:r>
    </w:p>
    <w:p w:rsidR="00366B80" w:rsidRPr="00CB7865" w:rsidRDefault="00366B80" w:rsidP="00366B80">
      <w:pPr>
        <w:ind w:left="-142"/>
        <w:jc w:val="both"/>
        <w:rPr>
          <w:rFonts w:ascii="Arial" w:hAnsi="Arial"/>
          <w:sz w:val="22"/>
          <w:szCs w:val="22"/>
        </w:rPr>
      </w:pPr>
      <w:r w:rsidRPr="00CB7865">
        <w:rPr>
          <w:rFonts w:ascii="Arial" w:hAnsi="Arial"/>
          <w:sz w:val="22"/>
          <w:szCs w:val="22"/>
        </w:rPr>
        <w:lastRenderedPageBreak/>
        <w:t xml:space="preserve">Nakon </w:t>
      </w:r>
      <w:r>
        <w:rPr>
          <w:rFonts w:ascii="Arial" w:hAnsi="Arial"/>
          <w:sz w:val="22"/>
          <w:szCs w:val="22"/>
        </w:rPr>
        <w:t>za</w:t>
      </w:r>
      <w:r w:rsidRPr="00CB7865">
        <w:rPr>
          <w:rFonts w:ascii="Arial" w:hAnsi="Arial"/>
          <w:sz w:val="22"/>
          <w:szCs w:val="22"/>
        </w:rPr>
        <w:t>vrše</w:t>
      </w:r>
      <w:r>
        <w:rPr>
          <w:rFonts w:ascii="Arial" w:hAnsi="Arial"/>
          <w:sz w:val="22"/>
          <w:szCs w:val="22"/>
        </w:rPr>
        <w:t>tk</w:t>
      </w:r>
      <w:r w:rsidRPr="00CB7865">
        <w:rPr>
          <w:rFonts w:ascii="Arial" w:hAnsi="Arial"/>
          <w:sz w:val="22"/>
          <w:szCs w:val="22"/>
        </w:rPr>
        <w:t xml:space="preserve">a radova potrebno je putem ovlaštene organizacije izvršiti potrebna mjerenja i </w:t>
      </w:r>
      <w:r>
        <w:rPr>
          <w:rFonts w:ascii="Arial" w:hAnsi="Arial"/>
          <w:sz w:val="22"/>
          <w:szCs w:val="22"/>
        </w:rPr>
        <w:t xml:space="preserve">ispitivanja i </w:t>
      </w:r>
      <w:r w:rsidRPr="00CB7865">
        <w:rPr>
          <w:rFonts w:ascii="Arial" w:hAnsi="Arial"/>
          <w:sz w:val="22"/>
          <w:szCs w:val="22"/>
        </w:rPr>
        <w:t>o rezultatima izdati pisana uvjerenja i ateste.</w:t>
      </w:r>
    </w:p>
    <w:p w:rsidR="00366B80" w:rsidRPr="00CB7865" w:rsidRDefault="00366B80" w:rsidP="00366B80">
      <w:pPr>
        <w:ind w:left="-142"/>
        <w:jc w:val="both"/>
        <w:rPr>
          <w:rFonts w:ascii="Arial" w:hAnsi="Arial"/>
          <w:sz w:val="22"/>
          <w:szCs w:val="22"/>
        </w:rPr>
      </w:pPr>
    </w:p>
    <w:p w:rsidR="00366B80" w:rsidRPr="00CB7865" w:rsidRDefault="00366B80" w:rsidP="00366B80">
      <w:pPr>
        <w:tabs>
          <w:tab w:val="left" w:pos="709"/>
        </w:tabs>
        <w:ind w:left="-142" w:right="-947"/>
        <w:rPr>
          <w:rFonts w:ascii="Arial" w:hAnsi="Arial"/>
          <w:sz w:val="22"/>
          <w:szCs w:val="22"/>
        </w:rPr>
      </w:pPr>
      <w:r w:rsidRPr="00CB7865">
        <w:rPr>
          <w:rFonts w:ascii="Arial" w:hAnsi="Arial"/>
          <w:sz w:val="22"/>
          <w:szCs w:val="22"/>
        </w:rPr>
        <w:t>2.2.</w:t>
      </w:r>
      <w:r>
        <w:rPr>
          <w:rFonts w:ascii="Arial" w:hAnsi="Arial"/>
          <w:sz w:val="22"/>
          <w:szCs w:val="22"/>
        </w:rPr>
        <w:t>1</w:t>
      </w:r>
      <w:r w:rsidRPr="00CB7865">
        <w:rPr>
          <w:rFonts w:ascii="Arial" w:hAnsi="Arial"/>
          <w:sz w:val="22"/>
          <w:szCs w:val="22"/>
        </w:rPr>
        <w:t>.</w:t>
      </w:r>
      <w:r>
        <w:rPr>
          <w:rFonts w:ascii="Arial" w:hAnsi="Arial"/>
          <w:sz w:val="22"/>
          <w:szCs w:val="22"/>
        </w:rPr>
        <w:t>1.</w:t>
      </w:r>
      <w:r w:rsidRPr="00CB7865">
        <w:rPr>
          <w:rFonts w:ascii="Arial" w:hAnsi="Arial"/>
          <w:sz w:val="22"/>
          <w:szCs w:val="22"/>
        </w:rPr>
        <w:tab/>
        <w:t>Zaštita od izravnog dodira</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Zaštita od izravnog dodira predviđena je instaliranjem dijelova pod naponom u </w:t>
      </w:r>
      <w:proofErr w:type="spellStart"/>
      <w:r w:rsidRPr="00CB7865">
        <w:rPr>
          <w:rFonts w:ascii="Arial" w:hAnsi="Arial"/>
          <w:sz w:val="22"/>
          <w:szCs w:val="22"/>
        </w:rPr>
        <w:t>kučišta</w:t>
      </w:r>
      <w:proofErr w:type="spellEnd"/>
      <w:r w:rsidRPr="00CB7865">
        <w:rPr>
          <w:rFonts w:ascii="Arial" w:hAnsi="Arial"/>
          <w:sz w:val="22"/>
          <w:szCs w:val="22"/>
        </w:rPr>
        <w:t xml:space="preserve"> uz primjenu </w:t>
      </w:r>
      <w:proofErr w:type="spellStart"/>
      <w:r w:rsidRPr="00CB7865">
        <w:rPr>
          <w:rFonts w:ascii="Arial" w:hAnsi="Arial"/>
          <w:sz w:val="22"/>
          <w:szCs w:val="22"/>
        </w:rPr>
        <w:t>upotrebljene</w:t>
      </w:r>
      <w:proofErr w:type="spellEnd"/>
      <w:r w:rsidRPr="00CB7865">
        <w:rPr>
          <w:rFonts w:ascii="Arial" w:hAnsi="Arial"/>
          <w:sz w:val="22"/>
          <w:szCs w:val="22"/>
        </w:rPr>
        <w:t xml:space="preserve"> izolacije koja mora trajno izdržati mehanička, kemijska i </w:t>
      </w:r>
      <w:proofErr w:type="spellStart"/>
      <w:r w:rsidRPr="00CB7865">
        <w:rPr>
          <w:rFonts w:ascii="Arial" w:hAnsi="Arial"/>
          <w:sz w:val="22"/>
          <w:szCs w:val="22"/>
        </w:rPr>
        <w:t>elektrotoplinska</w:t>
      </w:r>
      <w:proofErr w:type="spellEnd"/>
      <w:r w:rsidRPr="00CB7865">
        <w:rPr>
          <w:rFonts w:ascii="Arial" w:hAnsi="Arial"/>
          <w:sz w:val="22"/>
          <w:szCs w:val="22"/>
        </w:rPr>
        <w:t xml:space="preserve"> opterećenja u radu.</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Navedena zaštita svih razvodnih ormara, provedena je postavljanjem elemenata pod naponom u izolirano </w:t>
      </w:r>
      <w:proofErr w:type="spellStart"/>
      <w:r w:rsidRPr="00CB7865">
        <w:rPr>
          <w:rFonts w:ascii="Arial" w:hAnsi="Arial"/>
          <w:sz w:val="22"/>
          <w:szCs w:val="22"/>
        </w:rPr>
        <w:t>kučište</w:t>
      </w:r>
      <w:proofErr w:type="spellEnd"/>
      <w:r w:rsidRPr="00CB7865">
        <w:rPr>
          <w:rFonts w:ascii="Arial" w:hAnsi="Arial"/>
          <w:sz w:val="22"/>
          <w:szCs w:val="22"/>
        </w:rPr>
        <w:t>, ugrađenim pregradama i maskama za prekrivanje dijelova pod naponom, koje je moguće ukloniti pomoću ključa ili alata, poslije isključenja napajanja dijelova pod naponom.</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2.2.</w:t>
      </w:r>
      <w:r>
        <w:rPr>
          <w:rFonts w:ascii="Arial" w:hAnsi="Arial"/>
          <w:sz w:val="22"/>
          <w:szCs w:val="22"/>
        </w:rPr>
        <w:t>1</w:t>
      </w:r>
      <w:r w:rsidRPr="00CB7865">
        <w:rPr>
          <w:rFonts w:ascii="Arial" w:hAnsi="Arial"/>
          <w:sz w:val="22"/>
          <w:szCs w:val="22"/>
        </w:rPr>
        <w:t xml:space="preserve">.2.  Zaštita od neizravnog dodira </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Ova zaštita ostvarena je automatskim isključenjem napajanja u TN-C/S sustavu mreže sa uređajima </w:t>
      </w:r>
      <w:proofErr w:type="spellStart"/>
      <w:r w:rsidRPr="00CB7865">
        <w:rPr>
          <w:rFonts w:ascii="Arial" w:hAnsi="Arial"/>
          <w:sz w:val="22"/>
          <w:szCs w:val="22"/>
        </w:rPr>
        <w:t>nadstrujne</w:t>
      </w:r>
      <w:proofErr w:type="spellEnd"/>
      <w:r w:rsidRPr="00CB7865">
        <w:rPr>
          <w:rFonts w:ascii="Arial" w:hAnsi="Arial"/>
          <w:sz w:val="22"/>
          <w:szCs w:val="22"/>
        </w:rPr>
        <w:t xml:space="preserve"> zaštite. </w:t>
      </w:r>
    </w:p>
    <w:p w:rsidR="00366B80" w:rsidRPr="00CB7865" w:rsidRDefault="00366B80" w:rsidP="00366B80">
      <w:pPr>
        <w:ind w:left="-142"/>
        <w:jc w:val="both"/>
        <w:rPr>
          <w:rFonts w:ascii="Arial" w:hAnsi="Arial"/>
          <w:sz w:val="22"/>
          <w:szCs w:val="22"/>
        </w:rPr>
      </w:pPr>
      <w:r w:rsidRPr="00CB7865">
        <w:rPr>
          <w:rFonts w:ascii="Arial" w:hAnsi="Arial"/>
          <w:sz w:val="22"/>
          <w:szCs w:val="22"/>
        </w:rPr>
        <w:t>Spajanje neutralnog (N) i zaštitnog vodiča (PE) izvršeno je samo na jednom mjestu i to preko zaštitne PE stezaljke u razvodn</w:t>
      </w:r>
      <w:r>
        <w:rPr>
          <w:rFonts w:ascii="Arial" w:hAnsi="Arial"/>
          <w:sz w:val="22"/>
          <w:szCs w:val="22"/>
        </w:rPr>
        <w:t>im</w:t>
      </w:r>
      <w:r w:rsidRPr="00CB7865">
        <w:rPr>
          <w:rFonts w:ascii="Arial" w:hAnsi="Arial"/>
          <w:sz w:val="22"/>
          <w:szCs w:val="22"/>
        </w:rPr>
        <w:t xml:space="preserve"> ormar</w:t>
      </w:r>
      <w:r>
        <w:rPr>
          <w:rFonts w:ascii="Arial" w:hAnsi="Arial"/>
          <w:sz w:val="22"/>
          <w:szCs w:val="22"/>
        </w:rPr>
        <w:t>ima vanjske rasvjete.</w:t>
      </w:r>
      <w:r w:rsidRPr="00CB7865">
        <w:rPr>
          <w:rFonts w:ascii="Arial" w:hAnsi="Arial"/>
          <w:sz w:val="22"/>
          <w:szCs w:val="22"/>
        </w:rPr>
        <w:t xml:space="preserve"> </w:t>
      </w:r>
    </w:p>
    <w:p w:rsidR="00366B80" w:rsidRPr="00CB7865"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2.2.</w:t>
      </w:r>
      <w:r>
        <w:rPr>
          <w:rFonts w:ascii="Arial" w:hAnsi="Arial"/>
          <w:sz w:val="22"/>
          <w:szCs w:val="22"/>
        </w:rPr>
        <w:t>2</w:t>
      </w:r>
      <w:r w:rsidRPr="00CB7865">
        <w:rPr>
          <w:rFonts w:ascii="Arial" w:hAnsi="Arial"/>
          <w:sz w:val="22"/>
          <w:szCs w:val="22"/>
        </w:rPr>
        <w:t>.   Prikaz predviđenih mjera zaštite od požara</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Pr>
          <w:rFonts w:ascii="Arial" w:hAnsi="Arial"/>
          <w:sz w:val="22"/>
          <w:szCs w:val="22"/>
        </w:rPr>
        <w:t>Glav</w:t>
      </w:r>
      <w:r w:rsidRPr="00CB7865">
        <w:rPr>
          <w:rFonts w:ascii="Arial" w:hAnsi="Arial"/>
          <w:sz w:val="22"/>
          <w:szCs w:val="22"/>
        </w:rPr>
        <w:t xml:space="preserve">ni elektrotehnički projekt </w:t>
      </w:r>
      <w:r>
        <w:rPr>
          <w:rFonts w:ascii="Arial" w:hAnsi="Arial"/>
          <w:sz w:val="22"/>
          <w:szCs w:val="22"/>
        </w:rPr>
        <w:t xml:space="preserve">rekonstrukcije </w:t>
      </w:r>
      <w:r w:rsidRPr="00CB7865">
        <w:rPr>
          <w:rFonts w:ascii="Arial" w:hAnsi="Arial"/>
          <w:sz w:val="22"/>
          <w:szCs w:val="22"/>
        </w:rPr>
        <w:t xml:space="preserve">vanjske rasvjete </w:t>
      </w:r>
      <w:r>
        <w:rPr>
          <w:rFonts w:ascii="Arial" w:hAnsi="Arial"/>
          <w:sz w:val="22"/>
          <w:szCs w:val="22"/>
        </w:rPr>
        <w:t>cjelokupnog područja luke</w:t>
      </w:r>
      <w:r w:rsidRPr="00CB7865">
        <w:rPr>
          <w:rFonts w:ascii="Arial" w:hAnsi="Arial"/>
          <w:sz w:val="22"/>
          <w:szCs w:val="22"/>
        </w:rPr>
        <w:t>, izrađen je na temelju uvida u zatečeno-postojeće stanje, dogovora s predstavnikom investitora i važećih propisa i pravilnika kojima se osiguravaju mjere zaštite od požara.  Uz pretpostavku da su ostvarene osnovne protupožarne mjere, kao i mjere za gašenje požara u ovom prikazu navodit</w:t>
      </w:r>
      <w:r>
        <w:rPr>
          <w:rFonts w:ascii="Arial" w:hAnsi="Arial"/>
          <w:sz w:val="22"/>
          <w:szCs w:val="22"/>
        </w:rPr>
        <w:t>i</w:t>
      </w:r>
      <w:r w:rsidRPr="00CB7865">
        <w:rPr>
          <w:rFonts w:ascii="Arial" w:hAnsi="Arial"/>
          <w:sz w:val="22"/>
          <w:szCs w:val="22"/>
        </w:rPr>
        <w:t xml:space="preserve"> će se samo tehnička rješenja koja će smanjiti opasnost nastanka požara </w:t>
      </w:r>
      <w:proofErr w:type="spellStart"/>
      <w:r w:rsidRPr="00CB7865">
        <w:rPr>
          <w:rFonts w:ascii="Arial" w:hAnsi="Arial"/>
          <w:sz w:val="22"/>
          <w:szCs w:val="22"/>
        </w:rPr>
        <w:t>usljed</w:t>
      </w:r>
      <w:proofErr w:type="spellEnd"/>
      <w:r w:rsidRPr="00CB7865">
        <w:rPr>
          <w:rFonts w:ascii="Arial" w:hAnsi="Arial"/>
          <w:sz w:val="22"/>
          <w:szCs w:val="22"/>
        </w:rPr>
        <w:t xml:space="preserve"> eventualnih kvarova na niskonaponskoj mreži i priključnim ormarima.</w:t>
      </w:r>
    </w:p>
    <w:p w:rsidR="00366B80" w:rsidRPr="00CB7865" w:rsidRDefault="00366B80" w:rsidP="00366B80">
      <w:pPr>
        <w:ind w:left="-142"/>
        <w:jc w:val="both"/>
        <w:rPr>
          <w:rFonts w:ascii="Arial" w:hAnsi="Arial"/>
          <w:sz w:val="22"/>
          <w:szCs w:val="22"/>
        </w:rPr>
      </w:pPr>
      <w:r>
        <w:rPr>
          <w:rFonts w:ascii="Arial" w:hAnsi="Arial"/>
          <w:sz w:val="22"/>
          <w:szCs w:val="22"/>
        </w:rPr>
        <w:t xml:space="preserve">Rasvjetna tijela, </w:t>
      </w:r>
      <w:r w:rsidRPr="00CB7865">
        <w:rPr>
          <w:rFonts w:ascii="Arial" w:hAnsi="Arial"/>
          <w:sz w:val="22"/>
          <w:szCs w:val="22"/>
        </w:rPr>
        <w:t>kabeli, kompletan materijal i instalacijska oprema je tipska, izrađena od renomiranih proizvođača i atestirana.</w:t>
      </w:r>
    </w:p>
    <w:p w:rsidR="00366B80" w:rsidRPr="00CB7865" w:rsidRDefault="00366B80" w:rsidP="00366B80">
      <w:pPr>
        <w:ind w:left="-142"/>
        <w:jc w:val="both"/>
        <w:rPr>
          <w:rFonts w:ascii="Arial" w:hAnsi="Arial"/>
          <w:sz w:val="22"/>
          <w:szCs w:val="22"/>
        </w:rPr>
      </w:pPr>
      <w:r w:rsidRPr="00CB7865">
        <w:rPr>
          <w:rFonts w:ascii="Arial" w:hAnsi="Arial"/>
          <w:sz w:val="22"/>
          <w:szCs w:val="22"/>
        </w:rPr>
        <w:t>Dimenzioniranjem kabela u odnosu na strujno opterećenje, struju kratkog spoja, pad napona i uvjete polaganja, te pravilnim izborom zaštitnih elemenata, ostvarena je zaštita od prevelikih termičkih naprezanja, a time i od opasnosti nastanka požara.</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Zaštita instalacijskih vodova i kabela od </w:t>
      </w:r>
      <w:proofErr w:type="spellStart"/>
      <w:r w:rsidRPr="00CB7865">
        <w:rPr>
          <w:rFonts w:ascii="Arial" w:hAnsi="Arial"/>
          <w:sz w:val="22"/>
          <w:szCs w:val="22"/>
        </w:rPr>
        <w:t>opterečenja</w:t>
      </w:r>
      <w:proofErr w:type="spellEnd"/>
      <w:r w:rsidRPr="00CB7865">
        <w:rPr>
          <w:rFonts w:ascii="Arial" w:hAnsi="Arial"/>
          <w:sz w:val="22"/>
          <w:szCs w:val="22"/>
        </w:rPr>
        <w:t xml:space="preserve"> i kratkog spoja izvedena je automatskim zaštitnim prekidačima. </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Zaštita od izravnog i neizravnog dodira ostvaruje se zaštitnim izoliranjem i automatskim isključivanjem napajanja pomoću zaštitnih </w:t>
      </w:r>
      <w:proofErr w:type="spellStart"/>
      <w:r w:rsidRPr="00CB7865">
        <w:rPr>
          <w:rFonts w:ascii="Arial" w:hAnsi="Arial"/>
          <w:sz w:val="22"/>
          <w:szCs w:val="22"/>
        </w:rPr>
        <w:t>nadstrujnih</w:t>
      </w:r>
      <w:proofErr w:type="spellEnd"/>
      <w:r w:rsidRPr="00CB7865">
        <w:rPr>
          <w:rFonts w:ascii="Arial" w:hAnsi="Arial"/>
          <w:sz w:val="22"/>
          <w:szCs w:val="22"/>
        </w:rPr>
        <w:t xml:space="preserve"> uređaja-automatskih zaštitnih prekidača odgovarajuće karakteristike isklapanja, koji ujedno štite od požara, a koji može nastati probojem ili slabljenjem izolacije vodiča.</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Svi priključni ormari su </w:t>
      </w:r>
      <w:proofErr w:type="spellStart"/>
      <w:r w:rsidRPr="00CB7865">
        <w:rPr>
          <w:rFonts w:ascii="Arial" w:hAnsi="Arial"/>
          <w:sz w:val="22"/>
          <w:szCs w:val="22"/>
        </w:rPr>
        <w:t>nadgradni</w:t>
      </w:r>
      <w:proofErr w:type="spellEnd"/>
      <w:r w:rsidRPr="00CB7865">
        <w:rPr>
          <w:rFonts w:ascii="Arial" w:hAnsi="Arial"/>
          <w:sz w:val="22"/>
          <w:szCs w:val="22"/>
        </w:rPr>
        <w:t xml:space="preserve"> ormari izrađeni od čeličnog lima ili </w:t>
      </w:r>
      <w:proofErr w:type="spellStart"/>
      <w:r w:rsidRPr="00CB7865">
        <w:rPr>
          <w:rFonts w:ascii="Arial" w:hAnsi="Arial"/>
          <w:sz w:val="22"/>
          <w:szCs w:val="22"/>
        </w:rPr>
        <w:t>samogasive</w:t>
      </w:r>
      <w:proofErr w:type="spellEnd"/>
      <w:r w:rsidRPr="00CB7865">
        <w:rPr>
          <w:rFonts w:ascii="Arial" w:hAnsi="Arial"/>
          <w:sz w:val="22"/>
          <w:szCs w:val="22"/>
        </w:rPr>
        <w:t xml:space="preserve"> plastike, a izvedeni u stupnju mehaničke zaštite</w:t>
      </w:r>
      <w:r>
        <w:rPr>
          <w:rFonts w:ascii="Arial" w:hAnsi="Arial"/>
          <w:sz w:val="22"/>
          <w:szCs w:val="22"/>
        </w:rPr>
        <w:t xml:space="preserve"> najmanje </w:t>
      </w:r>
      <w:r w:rsidRPr="00CB7865">
        <w:rPr>
          <w:rFonts w:ascii="Arial" w:hAnsi="Arial"/>
          <w:sz w:val="22"/>
          <w:szCs w:val="22"/>
        </w:rPr>
        <w:t>IP 6</w:t>
      </w:r>
      <w:r>
        <w:rPr>
          <w:rFonts w:ascii="Arial" w:hAnsi="Arial"/>
          <w:sz w:val="22"/>
          <w:szCs w:val="22"/>
        </w:rPr>
        <w:t>5</w:t>
      </w:r>
      <w:r w:rsidRPr="00CB7865">
        <w:rPr>
          <w:rFonts w:ascii="Arial" w:hAnsi="Arial"/>
          <w:sz w:val="22"/>
          <w:szCs w:val="22"/>
        </w:rPr>
        <w:t xml:space="preserve">, </w:t>
      </w:r>
      <w:r w:rsidRPr="00CB7865">
        <w:rPr>
          <w:rFonts w:ascii="Arial" w:hAnsi="Arial" w:cs="Arial"/>
          <w:sz w:val="22"/>
          <w:szCs w:val="22"/>
          <w:lang w:eastAsia="hr-HR"/>
        </w:rPr>
        <w:t xml:space="preserve"> </w:t>
      </w:r>
      <w:r w:rsidRPr="00CB7865">
        <w:rPr>
          <w:rFonts w:ascii="Arial" w:hAnsi="Arial"/>
          <w:sz w:val="22"/>
          <w:szCs w:val="22"/>
        </w:rPr>
        <w:t xml:space="preserve">radne temperature </w:t>
      </w:r>
      <w:r>
        <w:rPr>
          <w:rFonts w:ascii="Arial" w:hAnsi="Arial"/>
          <w:sz w:val="22"/>
          <w:szCs w:val="22"/>
        </w:rPr>
        <w:t>minimalno do 60</w:t>
      </w:r>
      <w:r w:rsidRPr="00CB7865">
        <w:rPr>
          <w:rFonts w:ascii="Arial" w:hAnsi="Arial"/>
          <w:sz w:val="22"/>
          <w:szCs w:val="22"/>
        </w:rPr>
        <w:t xml:space="preserve"> °C .</w:t>
      </w:r>
    </w:p>
    <w:p w:rsidR="00366B80" w:rsidRPr="00CB7865" w:rsidRDefault="00366B80" w:rsidP="00366B80">
      <w:pPr>
        <w:ind w:left="-142"/>
        <w:jc w:val="both"/>
        <w:rPr>
          <w:rFonts w:ascii="Arial" w:hAnsi="Arial"/>
          <w:sz w:val="22"/>
          <w:szCs w:val="22"/>
        </w:rPr>
      </w:pPr>
      <w:r w:rsidRPr="00CB7865">
        <w:rPr>
          <w:rFonts w:ascii="Arial" w:hAnsi="Arial"/>
          <w:sz w:val="22"/>
          <w:szCs w:val="22"/>
        </w:rPr>
        <w:t>Svi kabeli su sa termoplastičnom izolacijom, koja ne gori niti podržava gorenje .</w:t>
      </w:r>
    </w:p>
    <w:p w:rsidR="00366B80" w:rsidRPr="00CB7865" w:rsidRDefault="00366B80" w:rsidP="00366B80">
      <w:pPr>
        <w:ind w:left="-142"/>
        <w:jc w:val="both"/>
        <w:rPr>
          <w:rFonts w:ascii="Arial" w:hAnsi="Arial"/>
          <w:sz w:val="22"/>
          <w:szCs w:val="22"/>
        </w:rPr>
      </w:pPr>
      <w:r w:rsidRPr="00CB7865">
        <w:rPr>
          <w:rFonts w:ascii="Arial" w:hAnsi="Arial"/>
          <w:sz w:val="22"/>
          <w:szCs w:val="22"/>
        </w:rPr>
        <w:t>Svi spojevi kabela izvode se samo u razvodnim ormarima</w:t>
      </w:r>
      <w:r>
        <w:rPr>
          <w:rFonts w:ascii="Arial" w:hAnsi="Arial"/>
          <w:sz w:val="22"/>
          <w:szCs w:val="22"/>
        </w:rPr>
        <w:t xml:space="preserve">, </w:t>
      </w:r>
      <w:proofErr w:type="spellStart"/>
      <w:r>
        <w:rPr>
          <w:rFonts w:ascii="Arial" w:hAnsi="Arial"/>
          <w:sz w:val="22"/>
          <w:szCs w:val="22"/>
        </w:rPr>
        <w:t>kučištima</w:t>
      </w:r>
      <w:proofErr w:type="spellEnd"/>
      <w:r>
        <w:rPr>
          <w:rFonts w:ascii="Arial" w:hAnsi="Arial"/>
          <w:sz w:val="22"/>
          <w:szCs w:val="22"/>
        </w:rPr>
        <w:t xml:space="preserve"> zaštitnih kutija</w:t>
      </w:r>
      <w:r w:rsidRPr="00CB7865">
        <w:rPr>
          <w:rFonts w:ascii="Arial" w:hAnsi="Arial"/>
          <w:sz w:val="22"/>
          <w:szCs w:val="22"/>
        </w:rPr>
        <w:t xml:space="preserve"> ili u razdjelnici rasvjetnog stupa pomoću odgovarajućih stezaljki. Kabeli se polažu </w:t>
      </w:r>
      <w:r>
        <w:rPr>
          <w:rFonts w:ascii="Arial" w:hAnsi="Arial"/>
          <w:sz w:val="22"/>
          <w:szCs w:val="22"/>
        </w:rPr>
        <w:t>pretežito kroz prostor unutar rasvjetnih stupova, a manjim dijelom u</w:t>
      </w:r>
      <w:r w:rsidRPr="00CB7865">
        <w:rPr>
          <w:rFonts w:ascii="Arial" w:hAnsi="Arial"/>
          <w:sz w:val="22"/>
          <w:szCs w:val="22"/>
        </w:rPr>
        <w:t xml:space="preserve"> </w:t>
      </w:r>
      <w:r>
        <w:rPr>
          <w:rFonts w:ascii="Arial" w:hAnsi="Arial"/>
          <w:sz w:val="22"/>
          <w:szCs w:val="22"/>
        </w:rPr>
        <w:t xml:space="preserve">zaštitnim </w:t>
      </w:r>
      <w:r w:rsidRPr="00CB7865">
        <w:rPr>
          <w:rFonts w:ascii="Arial" w:hAnsi="Arial"/>
          <w:sz w:val="22"/>
          <w:szCs w:val="22"/>
        </w:rPr>
        <w:t>cijevi</w:t>
      </w:r>
      <w:r>
        <w:rPr>
          <w:rFonts w:ascii="Arial" w:hAnsi="Arial"/>
          <w:sz w:val="22"/>
          <w:szCs w:val="22"/>
        </w:rPr>
        <w:t xml:space="preserve">ma za kabele izvan unutrašnjeg prostora čeličnih </w:t>
      </w:r>
      <w:proofErr w:type="spellStart"/>
      <w:r>
        <w:rPr>
          <w:rFonts w:ascii="Arial" w:hAnsi="Arial"/>
          <w:sz w:val="22"/>
          <w:szCs w:val="22"/>
        </w:rPr>
        <w:t>rasvetnih</w:t>
      </w:r>
      <w:proofErr w:type="spellEnd"/>
      <w:r>
        <w:rPr>
          <w:rFonts w:ascii="Arial" w:hAnsi="Arial"/>
          <w:sz w:val="22"/>
          <w:szCs w:val="22"/>
        </w:rPr>
        <w:t xml:space="preserve"> stupova.</w:t>
      </w:r>
      <w:r w:rsidRPr="00CB7865">
        <w:rPr>
          <w:rFonts w:ascii="Arial" w:hAnsi="Arial"/>
          <w:sz w:val="22"/>
          <w:szCs w:val="22"/>
        </w:rPr>
        <w:t xml:space="preserve"> </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Protupožarne mjere zaštite koje izvođač treba </w:t>
      </w:r>
      <w:proofErr w:type="spellStart"/>
      <w:r w:rsidRPr="00CB7865">
        <w:rPr>
          <w:rFonts w:ascii="Arial" w:hAnsi="Arial"/>
          <w:sz w:val="22"/>
          <w:szCs w:val="22"/>
        </w:rPr>
        <w:t>primjeniti</w:t>
      </w:r>
      <w:proofErr w:type="spellEnd"/>
      <w:r w:rsidRPr="00CB7865">
        <w:rPr>
          <w:rFonts w:ascii="Arial" w:hAnsi="Arial"/>
          <w:sz w:val="22"/>
          <w:szCs w:val="22"/>
        </w:rPr>
        <w:t xml:space="preserve"> prilikom izvedbe radova i korisnik nakon završetka izvedbe, a prilikom održavanja, odnose se na pravilno uskladištenje opreme i materijala, na zabranu pristupa vatrom upaljivim materijalima i sredstvima, na vidljivo označavanje lakozapaljivih materijala i opreme, na pridržavanje uputa proizvođača kod eventualnog korištenja lakozapaljivih materijala, na uskladištenja lakozapaljivih materijala i opreme na odvojenu lokaciju od ostalog skladišta, na osiguranje aparata za gašenje požara na gradilištu i pridržavanja uputa i </w:t>
      </w:r>
      <w:proofErr w:type="spellStart"/>
      <w:r w:rsidRPr="00CB7865">
        <w:rPr>
          <w:rFonts w:ascii="Arial" w:hAnsi="Arial"/>
          <w:sz w:val="22"/>
          <w:szCs w:val="22"/>
        </w:rPr>
        <w:t>riješenja</w:t>
      </w:r>
      <w:proofErr w:type="spellEnd"/>
      <w:r w:rsidRPr="00CB7865">
        <w:rPr>
          <w:rFonts w:ascii="Arial" w:hAnsi="Arial"/>
          <w:sz w:val="22"/>
          <w:szCs w:val="22"/>
        </w:rPr>
        <w:t xml:space="preserve"> </w:t>
      </w:r>
      <w:proofErr w:type="spellStart"/>
      <w:r w:rsidRPr="00CB7865">
        <w:rPr>
          <w:rFonts w:ascii="Arial" w:hAnsi="Arial"/>
          <w:sz w:val="22"/>
          <w:szCs w:val="22"/>
        </w:rPr>
        <w:t>datih</w:t>
      </w:r>
      <w:proofErr w:type="spellEnd"/>
      <w:r w:rsidRPr="00CB7865">
        <w:rPr>
          <w:rFonts w:ascii="Arial" w:hAnsi="Arial"/>
          <w:sz w:val="22"/>
          <w:szCs w:val="22"/>
        </w:rPr>
        <w:t xml:space="preserve"> u ovoj tehničkoj dokumentaciji.  </w:t>
      </w:r>
    </w:p>
    <w:p w:rsidR="00366B80" w:rsidRPr="00CB7865" w:rsidRDefault="00366B80" w:rsidP="00366B80">
      <w:pPr>
        <w:ind w:left="-142"/>
        <w:rPr>
          <w:rFonts w:ascii="Arial" w:hAnsi="Arial"/>
          <w:sz w:val="22"/>
          <w:szCs w:val="22"/>
        </w:rPr>
      </w:pPr>
    </w:p>
    <w:p w:rsidR="00366B80"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2.3.   Posebni tehnički uvjeti</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Ugovor o izvođenju radova sklapa se na temelju troškovnika, a u skladu sa važećim propisima. </w:t>
      </w:r>
      <w:r>
        <w:rPr>
          <w:rFonts w:ascii="Arial" w:hAnsi="Arial"/>
          <w:sz w:val="22"/>
          <w:szCs w:val="22"/>
        </w:rPr>
        <w:t>U c</w:t>
      </w:r>
      <w:r w:rsidRPr="00CB7865">
        <w:rPr>
          <w:rFonts w:ascii="Arial" w:hAnsi="Arial"/>
          <w:sz w:val="22"/>
          <w:szCs w:val="22"/>
        </w:rPr>
        <w:t>ijen</w:t>
      </w:r>
      <w:r>
        <w:rPr>
          <w:rFonts w:ascii="Arial" w:hAnsi="Arial"/>
          <w:sz w:val="22"/>
          <w:szCs w:val="22"/>
        </w:rPr>
        <w:t>u</w:t>
      </w:r>
      <w:r w:rsidRPr="00CB7865">
        <w:rPr>
          <w:rFonts w:ascii="Arial" w:hAnsi="Arial"/>
          <w:sz w:val="22"/>
          <w:szCs w:val="22"/>
        </w:rPr>
        <w:t xml:space="preserve"> poj</w:t>
      </w:r>
      <w:r>
        <w:rPr>
          <w:rFonts w:ascii="Arial" w:hAnsi="Arial"/>
          <w:sz w:val="22"/>
          <w:szCs w:val="22"/>
        </w:rPr>
        <w:t>edine stavke troškovnika, izvođač</w:t>
      </w:r>
      <w:r w:rsidRPr="00CB7865">
        <w:rPr>
          <w:rFonts w:ascii="Arial" w:hAnsi="Arial"/>
          <w:sz w:val="22"/>
          <w:szCs w:val="22"/>
        </w:rPr>
        <w:t xml:space="preserve">  je dužan </w:t>
      </w:r>
      <w:r>
        <w:rPr>
          <w:rFonts w:ascii="Arial" w:hAnsi="Arial"/>
          <w:sz w:val="22"/>
          <w:szCs w:val="22"/>
        </w:rPr>
        <w:t>uključiti</w:t>
      </w:r>
      <w:r w:rsidRPr="00CB7865">
        <w:rPr>
          <w:rFonts w:ascii="Arial" w:hAnsi="Arial"/>
          <w:sz w:val="22"/>
          <w:szCs w:val="22"/>
        </w:rPr>
        <w:t xml:space="preserve"> </w:t>
      </w:r>
      <w:r>
        <w:rPr>
          <w:rFonts w:ascii="Arial" w:hAnsi="Arial"/>
          <w:sz w:val="22"/>
          <w:szCs w:val="22"/>
        </w:rPr>
        <w:t xml:space="preserve">ukupan trošak </w:t>
      </w:r>
      <w:r w:rsidRPr="00CB7865">
        <w:rPr>
          <w:rFonts w:ascii="Arial" w:hAnsi="Arial"/>
          <w:sz w:val="22"/>
          <w:szCs w:val="22"/>
        </w:rPr>
        <w:t>izvedb</w:t>
      </w:r>
      <w:r>
        <w:rPr>
          <w:rFonts w:ascii="Arial" w:hAnsi="Arial"/>
          <w:sz w:val="22"/>
          <w:szCs w:val="22"/>
        </w:rPr>
        <w:t>e</w:t>
      </w:r>
      <w:r w:rsidRPr="00CB7865">
        <w:rPr>
          <w:rFonts w:ascii="Arial" w:hAnsi="Arial"/>
          <w:sz w:val="22"/>
          <w:szCs w:val="22"/>
        </w:rPr>
        <w:t xml:space="preserve"> kompletne stavke prema </w:t>
      </w:r>
      <w:r>
        <w:rPr>
          <w:rFonts w:ascii="Arial" w:hAnsi="Arial"/>
          <w:sz w:val="22"/>
          <w:szCs w:val="22"/>
        </w:rPr>
        <w:t>njenom opis</w:t>
      </w:r>
      <w:r w:rsidRPr="00CB7865">
        <w:rPr>
          <w:rFonts w:ascii="Arial" w:hAnsi="Arial"/>
          <w:sz w:val="22"/>
          <w:szCs w:val="22"/>
        </w:rPr>
        <w:t xml:space="preserve">u, tehničkom opisu, nacrtima i ovim uvjetima. U cijenu svake stavke izvođač je dužan ukalkulirati cijenu rada i materijala za izradu </w:t>
      </w:r>
      <w:r>
        <w:rPr>
          <w:rFonts w:ascii="Arial" w:hAnsi="Arial"/>
          <w:sz w:val="22"/>
          <w:szCs w:val="22"/>
        </w:rPr>
        <w:t>do postizanja potpune funkcionalnosti</w:t>
      </w:r>
      <w:r w:rsidRPr="00CB7865">
        <w:rPr>
          <w:rFonts w:ascii="Arial" w:hAnsi="Arial"/>
          <w:sz w:val="22"/>
          <w:szCs w:val="22"/>
        </w:rPr>
        <w:t xml:space="preserve">, transportne troškove, troškove uskladištenja, dnevnica, terenskih dodataka, osiguranja i sl. Kvaliteta ugrađenog materijala treba zadovoljavati uvjete važećih domaćih normi, odnosno inozemnih </w:t>
      </w:r>
      <w:r>
        <w:rPr>
          <w:rFonts w:ascii="Arial" w:hAnsi="Arial"/>
          <w:sz w:val="22"/>
          <w:szCs w:val="22"/>
        </w:rPr>
        <w:t>normi,</w:t>
      </w:r>
      <w:r w:rsidRPr="00CB7865">
        <w:rPr>
          <w:rFonts w:ascii="Arial" w:hAnsi="Arial"/>
          <w:sz w:val="22"/>
          <w:szCs w:val="22"/>
        </w:rPr>
        <w:t xml:space="preserve"> ako domać</w:t>
      </w:r>
      <w:r>
        <w:rPr>
          <w:rFonts w:ascii="Arial" w:hAnsi="Arial"/>
          <w:sz w:val="22"/>
          <w:szCs w:val="22"/>
        </w:rPr>
        <w:t>e</w:t>
      </w:r>
      <w:r w:rsidRPr="00CB7865">
        <w:rPr>
          <w:rFonts w:ascii="Arial" w:hAnsi="Arial"/>
          <w:sz w:val="22"/>
          <w:szCs w:val="22"/>
        </w:rPr>
        <w:t xml:space="preserve"> ne postoje.   Radove treba izvesti u skladu sa važećim propisima i pravilnicima, savjesno i uredno u skladu pravila zanata.</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Ako izvođač kod pregleda projekta ili izvedbe radova ustanovi da dio projekta ne odgovara ili smatra da rješenje dano projektom nije </w:t>
      </w:r>
      <w:r>
        <w:rPr>
          <w:rFonts w:ascii="Arial" w:hAnsi="Arial"/>
          <w:sz w:val="22"/>
          <w:szCs w:val="22"/>
        </w:rPr>
        <w:t xml:space="preserve">ispravno, </w:t>
      </w:r>
      <w:r w:rsidRPr="00CB7865">
        <w:rPr>
          <w:rFonts w:ascii="Arial" w:hAnsi="Arial"/>
          <w:sz w:val="22"/>
          <w:szCs w:val="22"/>
        </w:rPr>
        <w:t>funkcionalno i</w:t>
      </w:r>
      <w:r>
        <w:rPr>
          <w:rFonts w:ascii="Arial" w:hAnsi="Arial"/>
          <w:sz w:val="22"/>
          <w:szCs w:val="22"/>
        </w:rPr>
        <w:t>li</w:t>
      </w:r>
      <w:r w:rsidRPr="00CB7865">
        <w:rPr>
          <w:rFonts w:ascii="Arial" w:hAnsi="Arial"/>
          <w:sz w:val="22"/>
          <w:szCs w:val="22"/>
        </w:rPr>
        <w:t xml:space="preserve"> </w:t>
      </w:r>
      <w:r>
        <w:rPr>
          <w:rFonts w:ascii="Arial" w:hAnsi="Arial"/>
          <w:sz w:val="22"/>
          <w:szCs w:val="22"/>
        </w:rPr>
        <w:t>ne</w:t>
      </w:r>
      <w:r w:rsidRPr="00CB7865">
        <w:rPr>
          <w:rFonts w:ascii="Arial" w:hAnsi="Arial"/>
          <w:sz w:val="22"/>
          <w:szCs w:val="22"/>
        </w:rPr>
        <w:t>ekonomično, dužan je o tome pismeno obavijestiti investitora.</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Izmjena projektne dokumentacije ili izvođenje radova od strane izvođača mimo rješenja danim projektom, a bez pismenog odobrenja projektanta i nadzornog inženjera investitora, nije dozvoljena. </w:t>
      </w:r>
      <w:proofErr w:type="spellStart"/>
      <w:r w:rsidRPr="00CB7865">
        <w:rPr>
          <w:rFonts w:ascii="Arial" w:hAnsi="Arial"/>
          <w:sz w:val="22"/>
          <w:szCs w:val="22"/>
        </w:rPr>
        <w:t>Preporuća</w:t>
      </w:r>
      <w:proofErr w:type="spellEnd"/>
      <w:r w:rsidRPr="00CB7865">
        <w:rPr>
          <w:rFonts w:ascii="Arial" w:hAnsi="Arial"/>
          <w:sz w:val="22"/>
          <w:szCs w:val="22"/>
        </w:rPr>
        <w:t xml:space="preserve"> se investitoru da za svaku promjenu konzultira projektanta u protivnom, projektant se ne smatra odgovornim za eventualne greške i propuste.</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Tijekom izvođenja radova na kabliranju i montaži opreme izvođač je dužan voditi građevinski dnevnik. U dnevnik treba dnevno unositi sve podatke u skladu sa </w:t>
      </w:r>
      <w:proofErr w:type="spellStart"/>
      <w:r w:rsidRPr="00CB7865">
        <w:rPr>
          <w:rFonts w:ascii="Arial" w:hAnsi="Arial"/>
          <w:sz w:val="22"/>
          <w:szCs w:val="22"/>
        </w:rPr>
        <w:t>važečim</w:t>
      </w:r>
      <w:proofErr w:type="spellEnd"/>
      <w:r w:rsidRPr="00CB7865">
        <w:rPr>
          <w:rFonts w:ascii="Arial" w:hAnsi="Arial"/>
          <w:sz w:val="22"/>
          <w:szCs w:val="22"/>
        </w:rPr>
        <w:t xml:space="preserve"> pravilnikom o vođenju građevinskog dnevnika.</w:t>
      </w:r>
    </w:p>
    <w:p w:rsidR="00366B80" w:rsidRPr="00CB7865" w:rsidRDefault="00366B80" w:rsidP="00366B80">
      <w:pPr>
        <w:ind w:left="-142"/>
        <w:jc w:val="both"/>
        <w:rPr>
          <w:rFonts w:ascii="Arial" w:hAnsi="Arial"/>
          <w:sz w:val="22"/>
          <w:szCs w:val="22"/>
        </w:rPr>
      </w:pPr>
      <w:proofErr w:type="spellStart"/>
      <w:r w:rsidRPr="00CB7865">
        <w:rPr>
          <w:rFonts w:ascii="Arial" w:hAnsi="Arial"/>
          <w:sz w:val="22"/>
          <w:szCs w:val="22"/>
        </w:rPr>
        <w:t>Nakom</w:t>
      </w:r>
      <w:proofErr w:type="spellEnd"/>
      <w:r w:rsidRPr="00CB7865">
        <w:rPr>
          <w:rFonts w:ascii="Arial" w:hAnsi="Arial"/>
          <w:sz w:val="22"/>
          <w:szCs w:val="22"/>
        </w:rPr>
        <w:t xml:space="preserve"> završetka svih radova izvođač je dužan provesti sva potrebna mjerenja, a posebno:</w:t>
      </w:r>
    </w:p>
    <w:p w:rsidR="00366B80"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a) otpor uzemljenja združenog uzemljivača</w:t>
      </w:r>
    </w:p>
    <w:p w:rsidR="00366B80" w:rsidRPr="00CB7865" w:rsidRDefault="00366B80" w:rsidP="00366B80">
      <w:pPr>
        <w:ind w:left="-142"/>
        <w:jc w:val="both"/>
        <w:rPr>
          <w:rFonts w:ascii="Arial" w:hAnsi="Arial"/>
          <w:sz w:val="22"/>
          <w:szCs w:val="22"/>
        </w:rPr>
      </w:pPr>
      <w:r w:rsidRPr="00CB7865">
        <w:rPr>
          <w:rFonts w:ascii="Arial" w:hAnsi="Arial"/>
          <w:sz w:val="22"/>
          <w:szCs w:val="22"/>
        </w:rPr>
        <w:t>b) otpor petlje struje kratkog spoja</w:t>
      </w:r>
    </w:p>
    <w:p w:rsidR="00366B80" w:rsidRPr="00CB7865" w:rsidRDefault="00366B80" w:rsidP="00366B80">
      <w:pPr>
        <w:ind w:left="-142"/>
        <w:jc w:val="both"/>
        <w:rPr>
          <w:rFonts w:ascii="Arial" w:hAnsi="Arial"/>
          <w:sz w:val="22"/>
          <w:szCs w:val="22"/>
        </w:rPr>
      </w:pPr>
      <w:r w:rsidRPr="00CB7865">
        <w:rPr>
          <w:rFonts w:ascii="Arial" w:hAnsi="Arial"/>
          <w:sz w:val="22"/>
          <w:szCs w:val="22"/>
        </w:rPr>
        <w:t>c) provjeriti efikasnost sistema zaštite od previsokog dodirnog napona</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d) ispitati ispravnost ugrađenih uređaja i opreme i o tome sastaviti pismeno </w:t>
      </w:r>
      <w:proofErr w:type="spellStart"/>
      <w:r w:rsidRPr="00CB7865">
        <w:rPr>
          <w:rFonts w:ascii="Arial" w:hAnsi="Arial"/>
          <w:sz w:val="22"/>
          <w:szCs w:val="22"/>
        </w:rPr>
        <w:t>izvješče</w:t>
      </w:r>
      <w:proofErr w:type="spellEnd"/>
      <w:r w:rsidRPr="00CB7865">
        <w:rPr>
          <w:rFonts w:ascii="Arial" w:hAnsi="Arial"/>
          <w:sz w:val="22"/>
          <w:szCs w:val="22"/>
        </w:rPr>
        <w:t>.</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e) mjerenje postignutog nivoa </w:t>
      </w:r>
      <w:proofErr w:type="spellStart"/>
      <w:r w:rsidRPr="00CB7865">
        <w:rPr>
          <w:rFonts w:ascii="Arial" w:hAnsi="Arial"/>
          <w:sz w:val="22"/>
          <w:szCs w:val="22"/>
        </w:rPr>
        <w:t>rasvjetljenosti</w:t>
      </w:r>
      <w:proofErr w:type="spellEnd"/>
      <w:r w:rsidRPr="00CB7865">
        <w:rPr>
          <w:rFonts w:ascii="Arial" w:hAnsi="Arial"/>
          <w:sz w:val="22"/>
          <w:szCs w:val="22"/>
        </w:rPr>
        <w:t>.</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Prije tehničkog pregleda izvođač je dužan provjeriti, da li izvedeni radovi u potpunosti udovoljavaju projektiranim zahtjevima. Uz izvješće o rezultatima mjerenja i gotovosti izvedenih radova, potrebno je prije izrade završnog izvješća nadzornog inženjera, predati:</w:t>
      </w:r>
    </w:p>
    <w:p w:rsidR="00366B80" w:rsidRPr="00CB7865" w:rsidRDefault="00366B80" w:rsidP="00366B80">
      <w:pPr>
        <w:ind w:left="-142"/>
        <w:jc w:val="both"/>
        <w:rPr>
          <w:rFonts w:ascii="Arial" w:hAnsi="Arial"/>
          <w:sz w:val="22"/>
          <w:szCs w:val="22"/>
        </w:rPr>
      </w:pPr>
      <w:r w:rsidRPr="00CB7865">
        <w:rPr>
          <w:rFonts w:ascii="Arial" w:hAnsi="Arial"/>
          <w:sz w:val="22"/>
          <w:szCs w:val="22"/>
        </w:rPr>
        <w:t>a) potpisan građevinski dnevnik od strane izvođača i nadzornog inženjera, sa spiskom svih atesta, izvještaja i dokumentacije</w:t>
      </w:r>
    </w:p>
    <w:p w:rsidR="00366B80" w:rsidRPr="00CB7865" w:rsidRDefault="00366B80" w:rsidP="00366B80">
      <w:pPr>
        <w:ind w:left="-142"/>
        <w:jc w:val="both"/>
        <w:rPr>
          <w:rFonts w:ascii="Arial" w:hAnsi="Arial"/>
          <w:sz w:val="22"/>
          <w:szCs w:val="22"/>
        </w:rPr>
      </w:pPr>
      <w:r w:rsidRPr="00CB7865">
        <w:rPr>
          <w:rFonts w:ascii="Arial" w:hAnsi="Arial"/>
          <w:sz w:val="22"/>
          <w:szCs w:val="22"/>
        </w:rPr>
        <w:t>b) atestnu dokumentacija za ugrađenu opremu</w:t>
      </w:r>
    </w:p>
    <w:p w:rsidR="00366B80" w:rsidRPr="00CB7865" w:rsidRDefault="00366B80" w:rsidP="00366B80">
      <w:pPr>
        <w:ind w:left="-142"/>
        <w:jc w:val="both"/>
        <w:rPr>
          <w:rFonts w:ascii="Arial" w:hAnsi="Arial"/>
          <w:sz w:val="22"/>
          <w:szCs w:val="22"/>
        </w:rPr>
      </w:pPr>
      <w:r w:rsidRPr="00CB7865">
        <w:rPr>
          <w:rFonts w:ascii="Arial" w:hAnsi="Arial"/>
          <w:sz w:val="22"/>
          <w:szCs w:val="22"/>
        </w:rPr>
        <w:t>c ) dokumentaciju izvedenog stanja sa posebno označenim svim promjenama do kojih je došlo tijekom radova</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Izvođač jamči za </w:t>
      </w:r>
      <w:proofErr w:type="spellStart"/>
      <w:r w:rsidRPr="00CB7865">
        <w:rPr>
          <w:rFonts w:ascii="Arial" w:hAnsi="Arial"/>
          <w:sz w:val="22"/>
          <w:szCs w:val="22"/>
        </w:rPr>
        <w:t>kvalitet</w:t>
      </w:r>
      <w:proofErr w:type="spellEnd"/>
      <w:r w:rsidRPr="00CB7865">
        <w:rPr>
          <w:rFonts w:ascii="Arial" w:hAnsi="Arial"/>
          <w:sz w:val="22"/>
          <w:szCs w:val="22"/>
        </w:rPr>
        <w:t xml:space="preserve"> izvedenih radova i ispravno djelovanje tijekom dvije godine, ukoliko s investitorom ne ugovori druge uvjete. Garantni rok počinje </w:t>
      </w:r>
      <w:proofErr w:type="spellStart"/>
      <w:r w:rsidRPr="00CB7865">
        <w:rPr>
          <w:rFonts w:ascii="Arial" w:hAnsi="Arial"/>
          <w:sz w:val="22"/>
          <w:szCs w:val="22"/>
        </w:rPr>
        <w:t>teči</w:t>
      </w:r>
      <w:proofErr w:type="spellEnd"/>
      <w:r w:rsidRPr="00CB7865">
        <w:rPr>
          <w:rFonts w:ascii="Arial" w:hAnsi="Arial"/>
          <w:sz w:val="22"/>
          <w:szCs w:val="22"/>
        </w:rPr>
        <w:t xml:space="preserve"> od dana tehničkog prijema odnosno od dana predaje instalacije na uporabu investitoru, ukoliko je isti zatražio prijem prije tehničkog pregleda.</w:t>
      </w:r>
    </w:p>
    <w:p w:rsidR="00366B80" w:rsidRPr="00CB7865" w:rsidRDefault="00366B80" w:rsidP="00366B80">
      <w:pPr>
        <w:ind w:left="-142"/>
        <w:jc w:val="both"/>
        <w:rPr>
          <w:rFonts w:ascii="Arial" w:hAnsi="Arial"/>
          <w:sz w:val="22"/>
          <w:szCs w:val="22"/>
        </w:rPr>
      </w:pPr>
      <w:r w:rsidRPr="00CB7865">
        <w:rPr>
          <w:rFonts w:ascii="Arial" w:hAnsi="Arial"/>
          <w:sz w:val="22"/>
          <w:szCs w:val="22"/>
        </w:rPr>
        <w:t>Za vrijeme trajanja garantnog roka izvođač je obvezan po pozivu investitora u najkraćem roku otkloniti svaki kvar, koji je prouzročen nekvalitetno ugrađenim materijalom ili nesolidno izvedenim radovima.</w:t>
      </w:r>
    </w:p>
    <w:p w:rsidR="00366B80" w:rsidRPr="00CB7865" w:rsidRDefault="00366B80" w:rsidP="00366B80">
      <w:pPr>
        <w:ind w:left="-142"/>
        <w:jc w:val="both"/>
        <w:rPr>
          <w:rFonts w:ascii="Arial" w:hAnsi="Arial"/>
          <w:sz w:val="22"/>
          <w:szCs w:val="22"/>
        </w:rPr>
      </w:pPr>
      <w:r w:rsidRPr="00CB7865">
        <w:rPr>
          <w:rFonts w:ascii="Arial" w:hAnsi="Arial"/>
          <w:sz w:val="22"/>
          <w:szCs w:val="22"/>
        </w:rPr>
        <w:t>Ukoliko se izvođač ne odazove pozivu u roku od 7 dana od primljene obavijesti i ne otkloni nedostatke, investitor ima pravo iste otkloniti po trećem licu na teret izvođača.</w:t>
      </w:r>
    </w:p>
    <w:p w:rsidR="00366B80" w:rsidRPr="00CB7865" w:rsidRDefault="00366B80" w:rsidP="00366B80">
      <w:pPr>
        <w:ind w:left="-142"/>
        <w:rPr>
          <w:rFonts w:ascii="Arial" w:hAnsi="Arial"/>
          <w:sz w:val="22"/>
          <w:szCs w:val="22"/>
        </w:rPr>
      </w:pPr>
    </w:p>
    <w:p w:rsidR="00366B80" w:rsidRPr="00CB7865" w:rsidRDefault="00366B80" w:rsidP="00366B80">
      <w:pPr>
        <w:tabs>
          <w:tab w:val="left" w:pos="6237"/>
        </w:tabs>
        <w:ind w:left="-142"/>
        <w:rPr>
          <w:rFonts w:ascii="Arial" w:hAnsi="Arial"/>
          <w:sz w:val="22"/>
          <w:szCs w:val="22"/>
        </w:rPr>
      </w:pPr>
      <w:r w:rsidRPr="00CB7865">
        <w:rPr>
          <w:rFonts w:ascii="Arial" w:hAnsi="Arial"/>
          <w:sz w:val="22"/>
          <w:szCs w:val="22"/>
        </w:rPr>
        <w:tab/>
      </w:r>
    </w:p>
    <w:p w:rsidR="00366B80" w:rsidRPr="00CB7865" w:rsidRDefault="00366B80" w:rsidP="00366B80">
      <w:pPr>
        <w:tabs>
          <w:tab w:val="left" w:pos="6237"/>
        </w:tabs>
        <w:ind w:left="-142"/>
        <w:jc w:val="both"/>
        <w:rPr>
          <w:rFonts w:ascii="Arial" w:hAnsi="Arial"/>
          <w:sz w:val="22"/>
          <w:szCs w:val="22"/>
        </w:rPr>
      </w:pPr>
      <w:r w:rsidRPr="00CB7865">
        <w:rPr>
          <w:rFonts w:ascii="Arial" w:hAnsi="Arial"/>
          <w:sz w:val="22"/>
          <w:szCs w:val="22"/>
        </w:rPr>
        <w:t>2.4.    Program kontrole i osiguranja kakvoće</w:t>
      </w:r>
    </w:p>
    <w:p w:rsidR="00366B80" w:rsidRPr="00CB7865" w:rsidRDefault="00366B80" w:rsidP="00366B80">
      <w:pPr>
        <w:ind w:left="-142"/>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Da bi ugovoreni </w:t>
      </w:r>
      <w:proofErr w:type="spellStart"/>
      <w:r w:rsidRPr="00CB7865">
        <w:rPr>
          <w:rFonts w:ascii="Arial" w:hAnsi="Arial"/>
          <w:sz w:val="22"/>
          <w:szCs w:val="22"/>
        </w:rPr>
        <w:t>elektroradovi</w:t>
      </w:r>
      <w:proofErr w:type="spellEnd"/>
      <w:r w:rsidRPr="00CB7865">
        <w:rPr>
          <w:rFonts w:ascii="Arial" w:hAnsi="Arial"/>
          <w:sz w:val="22"/>
          <w:szCs w:val="22"/>
        </w:rPr>
        <w:t xml:space="preserve"> izvedeni prema ovom projektu osigurali punu funkcionalnost </w:t>
      </w:r>
      <w:r>
        <w:rPr>
          <w:rFonts w:ascii="Arial" w:hAnsi="Arial"/>
          <w:sz w:val="22"/>
          <w:szCs w:val="22"/>
        </w:rPr>
        <w:t>i ispravan rad vanjske rasvjete</w:t>
      </w:r>
      <w:r w:rsidRPr="00CB7865">
        <w:rPr>
          <w:rFonts w:ascii="Arial" w:hAnsi="Arial"/>
          <w:sz w:val="22"/>
          <w:szCs w:val="22"/>
        </w:rPr>
        <w:t>, potrebno je u tu svrhu postupiti na sljedeći način:</w:t>
      </w:r>
    </w:p>
    <w:p w:rsidR="00366B80" w:rsidRPr="00CB7865"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r w:rsidRPr="00CB7865">
        <w:rPr>
          <w:rFonts w:ascii="Arial" w:hAnsi="Arial"/>
          <w:sz w:val="22"/>
          <w:szCs w:val="22"/>
        </w:rPr>
        <w:lastRenderedPageBreak/>
        <w:t xml:space="preserve">- Radove treba u prvom redu izvoditi izvođačka tvrtka s kvalificiranim stručnim djelatnicima, </w:t>
      </w:r>
      <w:r>
        <w:rPr>
          <w:rFonts w:ascii="Arial" w:hAnsi="Arial"/>
          <w:sz w:val="22"/>
          <w:szCs w:val="22"/>
        </w:rPr>
        <w:t xml:space="preserve"> </w:t>
      </w:r>
      <w:r w:rsidRPr="00CB7865">
        <w:rPr>
          <w:rFonts w:ascii="Arial" w:hAnsi="Arial"/>
          <w:sz w:val="22"/>
          <w:szCs w:val="22"/>
        </w:rPr>
        <w:t xml:space="preserve">  savjesno u skladu sa važe</w:t>
      </w:r>
      <w:r>
        <w:rPr>
          <w:rFonts w:ascii="Arial" w:hAnsi="Arial"/>
          <w:sz w:val="22"/>
          <w:szCs w:val="22"/>
        </w:rPr>
        <w:t>ć</w:t>
      </w:r>
      <w:r w:rsidRPr="00CB7865">
        <w:rPr>
          <w:rFonts w:ascii="Arial" w:hAnsi="Arial"/>
          <w:sz w:val="22"/>
          <w:szCs w:val="22"/>
        </w:rPr>
        <w:t>im propisima i u duhu pravila elektromontažerske prakse i zanata</w:t>
      </w:r>
      <w:r>
        <w:rPr>
          <w:rFonts w:ascii="Arial" w:hAnsi="Arial"/>
          <w:sz w:val="22"/>
          <w:szCs w:val="22"/>
        </w:rPr>
        <w:t xml:space="preserve">          </w:t>
      </w:r>
      <w:r w:rsidRPr="00CB7865">
        <w:rPr>
          <w:rFonts w:ascii="Arial" w:hAnsi="Arial"/>
          <w:sz w:val="22"/>
          <w:szCs w:val="22"/>
        </w:rPr>
        <w:t>- Potrebno je upotrebljavati materijale koji svojom kvalitetom i karakteristikama odgovaraju   važećim nacionalnim, odnosno internacionalnim normama u slučaju nepostojanja domaćih</w:t>
      </w:r>
      <w:r>
        <w:rPr>
          <w:rFonts w:ascii="Arial" w:hAnsi="Arial"/>
          <w:sz w:val="22"/>
          <w:szCs w:val="22"/>
        </w:rPr>
        <w:t xml:space="preserve">              </w:t>
      </w:r>
      <w:r w:rsidRPr="00CB7865">
        <w:rPr>
          <w:rFonts w:ascii="Arial" w:hAnsi="Arial"/>
          <w:sz w:val="22"/>
          <w:szCs w:val="22"/>
        </w:rPr>
        <w:t>- Prije početka izvođenja radova proučiti projekt, analizirati troškovnik i izvršiti pripremu rada. U slučaju nejasnoća u projektnoj dokumentaciji savjetovati se sa projektantom i nadzornim</w:t>
      </w:r>
      <w:r>
        <w:rPr>
          <w:rFonts w:ascii="Arial" w:hAnsi="Arial"/>
          <w:sz w:val="22"/>
          <w:szCs w:val="22"/>
        </w:rPr>
        <w:t xml:space="preserve"> </w:t>
      </w:r>
      <w:r w:rsidRPr="00CB7865">
        <w:rPr>
          <w:rFonts w:ascii="Arial" w:hAnsi="Arial"/>
          <w:sz w:val="22"/>
          <w:szCs w:val="22"/>
        </w:rPr>
        <w:t xml:space="preserve">  inženjerom</w:t>
      </w:r>
    </w:p>
    <w:p w:rsidR="00366B80" w:rsidRDefault="00366B80" w:rsidP="00366B80">
      <w:pPr>
        <w:ind w:left="-142"/>
        <w:jc w:val="both"/>
        <w:rPr>
          <w:rFonts w:ascii="Arial" w:hAnsi="Arial"/>
          <w:sz w:val="22"/>
          <w:szCs w:val="22"/>
        </w:rPr>
      </w:pPr>
      <w:r w:rsidRPr="00CB7865">
        <w:rPr>
          <w:rFonts w:ascii="Arial" w:hAnsi="Arial"/>
          <w:sz w:val="22"/>
          <w:szCs w:val="22"/>
        </w:rPr>
        <w:t xml:space="preserve">- Kod izvođenja radova upotrebljavati odgovarajući alat, montažni pribor i </w:t>
      </w:r>
      <w:proofErr w:type="spellStart"/>
      <w:r w:rsidRPr="00CB7865">
        <w:rPr>
          <w:rFonts w:ascii="Arial" w:hAnsi="Arial"/>
          <w:sz w:val="22"/>
          <w:szCs w:val="22"/>
        </w:rPr>
        <w:t>pripremke</w:t>
      </w:r>
      <w:proofErr w:type="spellEnd"/>
      <w:r w:rsidRPr="00CB7865">
        <w:rPr>
          <w:rFonts w:ascii="Arial" w:hAnsi="Arial"/>
          <w:sz w:val="22"/>
          <w:szCs w:val="22"/>
        </w:rPr>
        <w:t>, čija uporaba osigurava kvalitetno izvođenje</w:t>
      </w:r>
    </w:p>
    <w:p w:rsidR="00366B80" w:rsidRPr="00E43C33" w:rsidRDefault="00366B80" w:rsidP="00366B80">
      <w:pPr>
        <w:ind w:left="-142"/>
        <w:jc w:val="both"/>
        <w:rPr>
          <w:rFonts w:ascii="Arial" w:hAnsi="Arial"/>
          <w:sz w:val="22"/>
          <w:szCs w:val="22"/>
        </w:rPr>
      </w:pPr>
      <w:r>
        <w:rPr>
          <w:rFonts w:ascii="Arial" w:hAnsi="Arial"/>
          <w:sz w:val="22"/>
          <w:szCs w:val="22"/>
        </w:rPr>
        <w:t>-</w:t>
      </w:r>
      <w:r>
        <w:rPr>
          <w:rFonts w:ascii="Arial" w:hAnsi="Arial"/>
          <w:sz w:val="22"/>
          <w:szCs w:val="22"/>
        </w:rPr>
        <w:tab/>
      </w:r>
      <w:r w:rsidRPr="00E43C33">
        <w:rPr>
          <w:rFonts w:ascii="Arial" w:hAnsi="Arial"/>
          <w:sz w:val="22"/>
          <w:szCs w:val="22"/>
        </w:rPr>
        <w:t>Sve postojeće svjetiljke koje su ovim projektom predviđene za zamjenu potrebno je</w:t>
      </w:r>
      <w:r>
        <w:rPr>
          <w:rFonts w:ascii="Arial" w:hAnsi="Arial"/>
          <w:sz w:val="22"/>
          <w:szCs w:val="22"/>
        </w:rPr>
        <w:t xml:space="preserve"> </w:t>
      </w:r>
      <w:r w:rsidRPr="00E43C33">
        <w:rPr>
          <w:rFonts w:ascii="Arial" w:hAnsi="Arial"/>
          <w:sz w:val="22"/>
          <w:szCs w:val="22"/>
        </w:rPr>
        <w:t xml:space="preserve">demontirati i deponirati na ovlašteni deponij ili na skladište vlasnika </w:t>
      </w:r>
      <w:r>
        <w:rPr>
          <w:rFonts w:ascii="Arial" w:hAnsi="Arial"/>
          <w:sz w:val="22"/>
          <w:szCs w:val="22"/>
        </w:rPr>
        <w:t>vanjske</w:t>
      </w:r>
      <w:r w:rsidRPr="00E43C33">
        <w:rPr>
          <w:rFonts w:ascii="Arial" w:hAnsi="Arial"/>
          <w:sz w:val="22"/>
          <w:szCs w:val="22"/>
        </w:rPr>
        <w:t xml:space="preserve"> rasvjete. Za opasni otpad</w:t>
      </w:r>
      <w:r>
        <w:rPr>
          <w:rFonts w:ascii="Arial" w:hAnsi="Arial"/>
          <w:sz w:val="22"/>
          <w:szCs w:val="22"/>
        </w:rPr>
        <w:t xml:space="preserve"> </w:t>
      </w:r>
      <w:r w:rsidRPr="00E43C33">
        <w:rPr>
          <w:rFonts w:ascii="Arial" w:hAnsi="Arial"/>
          <w:sz w:val="22"/>
          <w:szCs w:val="22"/>
        </w:rPr>
        <w:t>(prvenstveno se misli na živine žarulje) potrebno je dobaviti dokaznice o pravilnom zbrinjavanju</w:t>
      </w:r>
      <w:r>
        <w:rPr>
          <w:rFonts w:ascii="Arial" w:hAnsi="Arial"/>
          <w:sz w:val="22"/>
          <w:szCs w:val="22"/>
        </w:rPr>
        <w:t xml:space="preserve"> </w:t>
      </w:r>
      <w:r w:rsidRPr="00E43C33">
        <w:rPr>
          <w:rFonts w:ascii="Arial" w:hAnsi="Arial"/>
          <w:sz w:val="22"/>
          <w:szCs w:val="22"/>
        </w:rPr>
        <w:t>opasnog otpada i dostaviti ih investitoru odnosno nadzornom inženjeru prilikom primopredaje</w:t>
      </w:r>
      <w:r>
        <w:rPr>
          <w:rFonts w:ascii="Arial" w:hAnsi="Arial"/>
          <w:sz w:val="22"/>
          <w:szCs w:val="22"/>
        </w:rPr>
        <w:t xml:space="preserve"> </w:t>
      </w:r>
      <w:r w:rsidRPr="00E43C33">
        <w:rPr>
          <w:rFonts w:ascii="Arial" w:hAnsi="Arial"/>
          <w:sz w:val="22"/>
          <w:szCs w:val="22"/>
        </w:rPr>
        <w:t>instalacija.</w:t>
      </w:r>
    </w:p>
    <w:p w:rsidR="00366B80" w:rsidRPr="00E43C33" w:rsidRDefault="00366B80" w:rsidP="00366B80">
      <w:pPr>
        <w:ind w:left="-142"/>
        <w:jc w:val="both"/>
        <w:rPr>
          <w:rFonts w:ascii="Arial" w:hAnsi="Arial"/>
          <w:sz w:val="22"/>
          <w:szCs w:val="22"/>
        </w:rPr>
      </w:pPr>
      <w:r>
        <w:rPr>
          <w:rFonts w:ascii="Arial" w:hAnsi="Arial"/>
          <w:sz w:val="22"/>
          <w:szCs w:val="22"/>
        </w:rPr>
        <w:t>-</w:t>
      </w:r>
      <w:r>
        <w:rPr>
          <w:rFonts w:ascii="Arial" w:hAnsi="Arial"/>
          <w:sz w:val="22"/>
          <w:szCs w:val="22"/>
        </w:rPr>
        <w:tab/>
      </w:r>
      <w:r w:rsidRPr="00E43C33">
        <w:rPr>
          <w:rFonts w:ascii="Arial" w:hAnsi="Arial"/>
          <w:sz w:val="22"/>
          <w:szCs w:val="22"/>
        </w:rPr>
        <w:t>Montažu predviđen</w:t>
      </w:r>
      <w:r>
        <w:rPr>
          <w:rFonts w:ascii="Arial" w:hAnsi="Arial"/>
          <w:sz w:val="22"/>
          <w:szCs w:val="22"/>
        </w:rPr>
        <w:t xml:space="preserve">ih rasvjetnih tijela i prateće </w:t>
      </w:r>
      <w:r w:rsidRPr="00E43C33">
        <w:rPr>
          <w:rFonts w:ascii="Arial" w:hAnsi="Arial"/>
          <w:sz w:val="22"/>
          <w:szCs w:val="22"/>
        </w:rPr>
        <w:t xml:space="preserve">opreme potrebno je izvršiti prema uputama </w:t>
      </w:r>
      <w:r>
        <w:rPr>
          <w:rFonts w:ascii="Arial" w:hAnsi="Arial"/>
          <w:sz w:val="22"/>
          <w:szCs w:val="22"/>
        </w:rPr>
        <w:t xml:space="preserve">proizvođača </w:t>
      </w:r>
      <w:r w:rsidRPr="00E43C33">
        <w:rPr>
          <w:rFonts w:ascii="Arial" w:hAnsi="Arial"/>
          <w:sz w:val="22"/>
          <w:szCs w:val="22"/>
        </w:rPr>
        <w:t>za ugradnju</w:t>
      </w:r>
      <w:r>
        <w:rPr>
          <w:rFonts w:ascii="Arial" w:hAnsi="Arial"/>
          <w:sz w:val="22"/>
          <w:szCs w:val="22"/>
        </w:rPr>
        <w:t>,</w:t>
      </w:r>
      <w:r w:rsidRPr="00E43C33">
        <w:rPr>
          <w:rFonts w:ascii="Arial" w:hAnsi="Arial"/>
          <w:sz w:val="22"/>
          <w:szCs w:val="22"/>
        </w:rPr>
        <w:t xml:space="preserve"> koje se</w:t>
      </w:r>
      <w:r>
        <w:rPr>
          <w:rFonts w:ascii="Arial" w:hAnsi="Arial"/>
          <w:sz w:val="22"/>
          <w:szCs w:val="22"/>
        </w:rPr>
        <w:t xml:space="preserve"> </w:t>
      </w:r>
      <w:r w:rsidRPr="00E43C33">
        <w:rPr>
          <w:rFonts w:ascii="Arial" w:hAnsi="Arial"/>
          <w:sz w:val="22"/>
          <w:szCs w:val="22"/>
        </w:rPr>
        <w:t xml:space="preserve">isporučuju uz </w:t>
      </w:r>
      <w:r>
        <w:rPr>
          <w:rFonts w:ascii="Arial" w:hAnsi="Arial"/>
          <w:sz w:val="22"/>
          <w:szCs w:val="22"/>
        </w:rPr>
        <w:t>rasvjetna tijela i ostale elemente i opremu</w:t>
      </w:r>
      <w:r w:rsidRPr="00E43C33">
        <w:rPr>
          <w:rFonts w:ascii="Arial" w:hAnsi="Arial"/>
          <w:sz w:val="22"/>
          <w:szCs w:val="22"/>
        </w:rPr>
        <w:t>. Ukoliko se na terenu utvrdi od strane nadzornog inženjera da je na nekim</w:t>
      </w:r>
      <w:r>
        <w:rPr>
          <w:rFonts w:ascii="Arial" w:hAnsi="Arial"/>
          <w:sz w:val="22"/>
          <w:szCs w:val="22"/>
        </w:rPr>
        <w:t xml:space="preserve"> </w:t>
      </w:r>
      <w:r w:rsidRPr="00E43C33">
        <w:rPr>
          <w:rFonts w:ascii="Arial" w:hAnsi="Arial"/>
          <w:sz w:val="22"/>
          <w:szCs w:val="22"/>
        </w:rPr>
        <w:t>pozicijama</w:t>
      </w:r>
      <w:r>
        <w:rPr>
          <w:rFonts w:ascii="Arial" w:hAnsi="Arial"/>
          <w:sz w:val="22"/>
          <w:szCs w:val="22"/>
        </w:rPr>
        <w:t xml:space="preserve"> </w:t>
      </w:r>
      <w:r w:rsidRPr="00E43C33">
        <w:rPr>
          <w:rFonts w:ascii="Arial" w:hAnsi="Arial"/>
          <w:sz w:val="22"/>
          <w:szCs w:val="22"/>
        </w:rPr>
        <w:t xml:space="preserve">bolje </w:t>
      </w:r>
      <w:r>
        <w:rPr>
          <w:rFonts w:ascii="Arial" w:hAnsi="Arial"/>
          <w:sz w:val="22"/>
          <w:szCs w:val="22"/>
        </w:rPr>
        <w:t>zadrža</w:t>
      </w:r>
      <w:r w:rsidRPr="00E43C33">
        <w:rPr>
          <w:rFonts w:ascii="Arial" w:hAnsi="Arial"/>
          <w:sz w:val="22"/>
          <w:szCs w:val="22"/>
        </w:rPr>
        <w:t>ti postojeće nosače</w:t>
      </w:r>
      <w:r>
        <w:rPr>
          <w:rFonts w:ascii="Arial" w:hAnsi="Arial"/>
          <w:sz w:val="22"/>
          <w:szCs w:val="22"/>
        </w:rPr>
        <w:t xml:space="preserve"> i elemente</w:t>
      </w:r>
      <w:r w:rsidRPr="00E43C33">
        <w:rPr>
          <w:rFonts w:ascii="Arial" w:hAnsi="Arial"/>
          <w:sz w:val="22"/>
          <w:szCs w:val="22"/>
        </w:rPr>
        <w:t xml:space="preserve"> zbog njihovog dobrog stanja ili zbog kompleksnosti njih</w:t>
      </w:r>
      <w:r>
        <w:rPr>
          <w:rFonts w:ascii="Arial" w:hAnsi="Arial"/>
          <w:sz w:val="22"/>
          <w:szCs w:val="22"/>
        </w:rPr>
        <w:t xml:space="preserve">ove </w:t>
      </w:r>
      <w:proofErr w:type="spellStart"/>
      <w:r w:rsidRPr="00E43C33">
        <w:rPr>
          <w:rFonts w:ascii="Arial" w:hAnsi="Arial"/>
          <w:sz w:val="22"/>
          <w:szCs w:val="22"/>
        </w:rPr>
        <w:t>zmjen</w:t>
      </w:r>
      <w:r>
        <w:rPr>
          <w:rFonts w:ascii="Arial" w:hAnsi="Arial"/>
          <w:sz w:val="22"/>
          <w:szCs w:val="22"/>
        </w:rPr>
        <w:t>e</w:t>
      </w:r>
      <w:proofErr w:type="spellEnd"/>
      <w:r>
        <w:rPr>
          <w:rFonts w:ascii="Arial" w:hAnsi="Arial"/>
          <w:sz w:val="22"/>
          <w:szCs w:val="22"/>
        </w:rPr>
        <w:t>,</w:t>
      </w:r>
      <w:r w:rsidRPr="00E43C33">
        <w:rPr>
          <w:rFonts w:ascii="Arial" w:hAnsi="Arial"/>
          <w:sz w:val="22"/>
          <w:szCs w:val="22"/>
        </w:rPr>
        <w:t xml:space="preserve"> dozvoljeno je </w:t>
      </w:r>
      <w:r>
        <w:rPr>
          <w:rFonts w:ascii="Arial" w:hAnsi="Arial"/>
          <w:sz w:val="22"/>
          <w:szCs w:val="22"/>
        </w:rPr>
        <w:t xml:space="preserve">njihovo </w:t>
      </w:r>
      <w:r w:rsidRPr="00E43C33">
        <w:rPr>
          <w:rFonts w:ascii="Arial" w:hAnsi="Arial"/>
          <w:sz w:val="22"/>
          <w:szCs w:val="22"/>
        </w:rPr>
        <w:t>zadržavanje</w:t>
      </w:r>
      <w:r>
        <w:rPr>
          <w:rFonts w:ascii="Arial" w:hAnsi="Arial"/>
          <w:sz w:val="22"/>
          <w:szCs w:val="22"/>
        </w:rPr>
        <w:t>, ali se pritom</w:t>
      </w:r>
      <w:r w:rsidRPr="00E43C33">
        <w:rPr>
          <w:rFonts w:ascii="Arial" w:hAnsi="Arial"/>
          <w:sz w:val="22"/>
          <w:szCs w:val="22"/>
        </w:rPr>
        <w:t xml:space="preserve"> </w:t>
      </w:r>
      <w:r>
        <w:rPr>
          <w:rFonts w:ascii="Arial" w:hAnsi="Arial"/>
          <w:sz w:val="22"/>
          <w:szCs w:val="22"/>
        </w:rPr>
        <w:t xml:space="preserve">za iste </w:t>
      </w:r>
      <w:proofErr w:type="spellStart"/>
      <w:r w:rsidRPr="00E43C33">
        <w:rPr>
          <w:rFonts w:ascii="Arial" w:hAnsi="Arial"/>
          <w:sz w:val="22"/>
          <w:szCs w:val="22"/>
        </w:rPr>
        <w:t>iste</w:t>
      </w:r>
      <w:proofErr w:type="spellEnd"/>
      <w:r w:rsidRPr="00E43C33">
        <w:rPr>
          <w:rFonts w:ascii="Arial" w:hAnsi="Arial"/>
          <w:sz w:val="22"/>
          <w:szCs w:val="22"/>
        </w:rPr>
        <w:t xml:space="preserve"> neće obračunati</w:t>
      </w:r>
      <w:r>
        <w:rPr>
          <w:rFonts w:ascii="Arial" w:hAnsi="Arial"/>
          <w:sz w:val="22"/>
          <w:szCs w:val="22"/>
        </w:rPr>
        <w:t xml:space="preserve"> </w:t>
      </w:r>
      <w:r w:rsidRPr="00E43C33">
        <w:rPr>
          <w:rFonts w:ascii="Arial" w:hAnsi="Arial"/>
          <w:sz w:val="22"/>
          <w:szCs w:val="22"/>
        </w:rPr>
        <w:t>ponuđena cijena dobave i montaže.</w:t>
      </w:r>
    </w:p>
    <w:p w:rsidR="00366B80" w:rsidRDefault="00366B80" w:rsidP="00366B80">
      <w:pPr>
        <w:ind w:left="-142"/>
        <w:jc w:val="both"/>
        <w:rPr>
          <w:rFonts w:ascii="Arial" w:hAnsi="Arial"/>
          <w:sz w:val="22"/>
          <w:szCs w:val="22"/>
        </w:rPr>
      </w:pPr>
      <w:r>
        <w:rPr>
          <w:rFonts w:ascii="Arial" w:hAnsi="Arial"/>
          <w:sz w:val="22"/>
          <w:szCs w:val="22"/>
        </w:rPr>
        <w:t>-</w:t>
      </w:r>
      <w:r>
        <w:rPr>
          <w:rFonts w:ascii="Arial" w:hAnsi="Arial"/>
          <w:sz w:val="22"/>
          <w:szCs w:val="22"/>
        </w:rPr>
        <w:tab/>
      </w:r>
      <w:r w:rsidRPr="00E43C33">
        <w:rPr>
          <w:rFonts w:ascii="Arial" w:hAnsi="Arial"/>
          <w:sz w:val="22"/>
          <w:szCs w:val="22"/>
        </w:rPr>
        <w:t xml:space="preserve">Obvezna je provjera dimenzija (promjera) </w:t>
      </w:r>
      <w:proofErr w:type="spellStart"/>
      <w:r w:rsidRPr="00E43C33">
        <w:rPr>
          <w:rFonts w:ascii="Arial" w:hAnsi="Arial"/>
          <w:sz w:val="22"/>
          <w:szCs w:val="22"/>
        </w:rPr>
        <w:t>nasadnika</w:t>
      </w:r>
      <w:proofErr w:type="spellEnd"/>
      <w:r w:rsidRPr="00E43C33">
        <w:rPr>
          <w:rFonts w:ascii="Arial" w:hAnsi="Arial"/>
          <w:sz w:val="22"/>
          <w:szCs w:val="22"/>
        </w:rPr>
        <w:t xml:space="preserve"> tj. vrha stupova </w:t>
      </w:r>
      <w:r>
        <w:rPr>
          <w:rFonts w:ascii="Arial" w:hAnsi="Arial"/>
          <w:sz w:val="22"/>
          <w:szCs w:val="22"/>
        </w:rPr>
        <w:t xml:space="preserve">kao i nosivih konstrukcija reflektora </w:t>
      </w:r>
      <w:r w:rsidRPr="00E43C33">
        <w:rPr>
          <w:rFonts w:ascii="Arial" w:hAnsi="Arial"/>
          <w:sz w:val="22"/>
          <w:szCs w:val="22"/>
        </w:rPr>
        <w:t xml:space="preserve">prije narudžbe </w:t>
      </w:r>
      <w:r>
        <w:rPr>
          <w:rFonts w:ascii="Arial" w:hAnsi="Arial"/>
          <w:sz w:val="22"/>
          <w:szCs w:val="22"/>
        </w:rPr>
        <w:t xml:space="preserve">svjetiljki i reflektora. </w:t>
      </w:r>
    </w:p>
    <w:p w:rsidR="00366B80" w:rsidRPr="00E43C33" w:rsidRDefault="00366B80" w:rsidP="00366B80">
      <w:pPr>
        <w:ind w:left="-142"/>
        <w:jc w:val="both"/>
        <w:rPr>
          <w:rFonts w:ascii="Arial" w:hAnsi="Arial"/>
          <w:sz w:val="22"/>
          <w:szCs w:val="22"/>
        </w:rPr>
      </w:pPr>
      <w:r>
        <w:rPr>
          <w:rFonts w:ascii="Arial" w:hAnsi="Arial"/>
          <w:sz w:val="22"/>
          <w:szCs w:val="22"/>
        </w:rPr>
        <w:t>-</w:t>
      </w:r>
      <w:r>
        <w:rPr>
          <w:rFonts w:ascii="Arial" w:hAnsi="Arial"/>
          <w:sz w:val="22"/>
          <w:szCs w:val="22"/>
        </w:rPr>
        <w:tab/>
      </w:r>
      <w:r w:rsidRPr="00E43C33">
        <w:rPr>
          <w:rFonts w:ascii="Arial" w:hAnsi="Arial"/>
          <w:sz w:val="22"/>
          <w:szCs w:val="22"/>
        </w:rPr>
        <w:t>Sve nove svjetiljke treba montirati na stup pod kutom od 0°. Prilikom postavljanja svjetiljki ukoliko se</w:t>
      </w:r>
      <w:r>
        <w:rPr>
          <w:rFonts w:ascii="Arial" w:hAnsi="Arial"/>
          <w:sz w:val="22"/>
          <w:szCs w:val="22"/>
        </w:rPr>
        <w:t xml:space="preserve"> </w:t>
      </w:r>
      <w:r w:rsidRPr="00E43C33">
        <w:rPr>
          <w:rFonts w:ascii="Arial" w:hAnsi="Arial"/>
          <w:sz w:val="22"/>
          <w:szCs w:val="22"/>
        </w:rPr>
        <w:t>iste postavljaju na postojeće konzole ili stupove koji imaju određen nagib vrha potrebno je korigirati</w:t>
      </w:r>
      <w:r>
        <w:rPr>
          <w:rFonts w:ascii="Arial" w:hAnsi="Arial"/>
          <w:sz w:val="22"/>
          <w:szCs w:val="22"/>
        </w:rPr>
        <w:t xml:space="preserve"> </w:t>
      </w:r>
      <w:r w:rsidRPr="00E43C33">
        <w:rPr>
          <w:rFonts w:ascii="Arial" w:hAnsi="Arial"/>
          <w:sz w:val="22"/>
          <w:szCs w:val="22"/>
        </w:rPr>
        <w:t>nagib nosača na svjetiljci tako da svjetiljka uvijek stoji pod kutom od 0°u odnosu na idealnu</w:t>
      </w:r>
      <w:r>
        <w:rPr>
          <w:rFonts w:ascii="Arial" w:hAnsi="Arial"/>
          <w:sz w:val="22"/>
          <w:szCs w:val="22"/>
        </w:rPr>
        <w:t xml:space="preserve"> </w:t>
      </w:r>
      <w:r w:rsidRPr="00E43C33">
        <w:rPr>
          <w:rFonts w:ascii="Arial" w:hAnsi="Arial"/>
          <w:sz w:val="22"/>
          <w:szCs w:val="22"/>
        </w:rPr>
        <w:t>horizontalnu površinu – iz tog razloga predviđene su projektom svjetiljke sa mogućnošću regulacije</w:t>
      </w:r>
      <w:r>
        <w:rPr>
          <w:rFonts w:ascii="Arial" w:hAnsi="Arial"/>
          <w:sz w:val="22"/>
          <w:szCs w:val="22"/>
        </w:rPr>
        <w:t xml:space="preserve"> </w:t>
      </w:r>
      <w:r w:rsidRPr="00E43C33">
        <w:rPr>
          <w:rFonts w:ascii="Arial" w:hAnsi="Arial"/>
          <w:sz w:val="22"/>
          <w:szCs w:val="22"/>
        </w:rPr>
        <w:t>kuta.</w:t>
      </w:r>
    </w:p>
    <w:p w:rsidR="00366B80" w:rsidRPr="00E43C33" w:rsidRDefault="00366B80" w:rsidP="00366B80">
      <w:pPr>
        <w:ind w:left="-142"/>
        <w:rPr>
          <w:rFonts w:ascii="Arial" w:hAnsi="Arial"/>
          <w:sz w:val="22"/>
          <w:szCs w:val="22"/>
        </w:rPr>
      </w:pPr>
      <w:r>
        <w:rPr>
          <w:rFonts w:ascii="Arial" w:hAnsi="Arial"/>
          <w:sz w:val="22"/>
          <w:szCs w:val="22"/>
        </w:rPr>
        <w:t>-</w:t>
      </w:r>
      <w:r>
        <w:rPr>
          <w:rFonts w:ascii="Arial" w:hAnsi="Arial"/>
          <w:sz w:val="22"/>
          <w:szCs w:val="22"/>
        </w:rPr>
        <w:tab/>
      </w:r>
      <w:r w:rsidRPr="00E43C33">
        <w:rPr>
          <w:rFonts w:ascii="Arial" w:hAnsi="Arial"/>
          <w:sz w:val="22"/>
          <w:szCs w:val="22"/>
        </w:rPr>
        <w:t>Svjetiljke se ne smiju postavljati tijekom loših atmosferskih uvjeta (kiša, magla ili snijeg) da ne</w:t>
      </w:r>
      <w:r>
        <w:rPr>
          <w:rFonts w:ascii="Arial" w:hAnsi="Arial"/>
          <w:sz w:val="22"/>
          <w:szCs w:val="22"/>
        </w:rPr>
        <w:t xml:space="preserve"> </w:t>
      </w:r>
      <w:r w:rsidRPr="00E43C33">
        <w:rPr>
          <w:rFonts w:ascii="Arial" w:hAnsi="Arial"/>
          <w:sz w:val="22"/>
          <w:szCs w:val="22"/>
        </w:rPr>
        <w:t xml:space="preserve">bi došlo do kondenzacije vlage </w:t>
      </w:r>
      <w:r>
        <w:rPr>
          <w:rFonts w:ascii="Arial" w:hAnsi="Arial"/>
          <w:sz w:val="22"/>
          <w:szCs w:val="22"/>
        </w:rPr>
        <w:t>u unutrašnjosti</w:t>
      </w:r>
      <w:r w:rsidRPr="00E43C33">
        <w:rPr>
          <w:rFonts w:ascii="Arial" w:hAnsi="Arial"/>
          <w:sz w:val="22"/>
          <w:szCs w:val="22"/>
        </w:rPr>
        <w:t xml:space="preserve"> svjetiljke.</w:t>
      </w:r>
    </w:p>
    <w:p w:rsidR="00366B80" w:rsidRPr="00E43C33" w:rsidRDefault="00366B80" w:rsidP="00366B80">
      <w:pPr>
        <w:ind w:left="-142"/>
        <w:jc w:val="both"/>
        <w:rPr>
          <w:rFonts w:ascii="Arial" w:hAnsi="Arial"/>
          <w:sz w:val="22"/>
          <w:szCs w:val="22"/>
        </w:rPr>
      </w:pPr>
      <w:r>
        <w:rPr>
          <w:rFonts w:ascii="Arial" w:hAnsi="Arial"/>
          <w:sz w:val="22"/>
          <w:szCs w:val="22"/>
        </w:rPr>
        <w:t>-</w:t>
      </w:r>
      <w:r>
        <w:rPr>
          <w:rFonts w:ascii="Arial" w:hAnsi="Arial"/>
          <w:sz w:val="22"/>
          <w:szCs w:val="22"/>
        </w:rPr>
        <w:tab/>
      </w:r>
      <w:r w:rsidRPr="00E43C33">
        <w:rPr>
          <w:rFonts w:ascii="Arial" w:hAnsi="Arial"/>
          <w:sz w:val="22"/>
          <w:szCs w:val="22"/>
        </w:rPr>
        <w:t>Prije zatvaranja zaštitne kape, unutrašnjost svjetiljke</w:t>
      </w:r>
      <w:r>
        <w:rPr>
          <w:rFonts w:ascii="Arial" w:hAnsi="Arial"/>
          <w:sz w:val="22"/>
          <w:szCs w:val="22"/>
        </w:rPr>
        <w:t xml:space="preserve"> ili reflektora,</w:t>
      </w:r>
      <w:r w:rsidRPr="00E43C33">
        <w:rPr>
          <w:rFonts w:ascii="Arial" w:hAnsi="Arial"/>
          <w:sz w:val="22"/>
          <w:szCs w:val="22"/>
        </w:rPr>
        <w:t xml:space="preserve"> potrebno je prebrisati </w:t>
      </w:r>
      <w:r>
        <w:rPr>
          <w:rFonts w:ascii="Arial" w:hAnsi="Arial"/>
          <w:sz w:val="22"/>
          <w:szCs w:val="22"/>
        </w:rPr>
        <w:t xml:space="preserve">čistom, </w:t>
      </w:r>
      <w:r w:rsidRPr="00E43C33">
        <w:rPr>
          <w:rFonts w:ascii="Arial" w:hAnsi="Arial"/>
          <w:sz w:val="22"/>
          <w:szCs w:val="22"/>
        </w:rPr>
        <w:t xml:space="preserve">suhom </w:t>
      </w:r>
      <w:r>
        <w:rPr>
          <w:rFonts w:ascii="Arial" w:hAnsi="Arial"/>
          <w:sz w:val="22"/>
          <w:szCs w:val="22"/>
        </w:rPr>
        <w:t>i m</w:t>
      </w:r>
      <w:r w:rsidRPr="00E43C33">
        <w:rPr>
          <w:rFonts w:ascii="Arial" w:hAnsi="Arial"/>
          <w:sz w:val="22"/>
          <w:szCs w:val="22"/>
        </w:rPr>
        <w:t>ekanom</w:t>
      </w:r>
      <w:r>
        <w:rPr>
          <w:rFonts w:ascii="Arial" w:hAnsi="Arial"/>
          <w:sz w:val="22"/>
          <w:szCs w:val="22"/>
        </w:rPr>
        <w:t xml:space="preserve"> </w:t>
      </w:r>
      <w:r w:rsidRPr="00E43C33">
        <w:rPr>
          <w:rFonts w:ascii="Arial" w:hAnsi="Arial"/>
          <w:sz w:val="22"/>
          <w:szCs w:val="22"/>
        </w:rPr>
        <w:t>krpom. Pri tome je potrebno prekontrolirati stanje brtve, zaštitne kape, te istu zamijeniti ukoliko je</w:t>
      </w:r>
      <w:r>
        <w:rPr>
          <w:rFonts w:ascii="Arial" w:hAnsi="Arial"/>
          <w:sz w:val="22"/>
          <w:szCs w:val="22"/>
        </w:rPr>
        <w:t xml:space="preserve"> </w:t>
      </w:r>
      <w:r w:rsidRPr="00E43C33">
        <w:rPr>
          <w:rFonts w:ascii="Arial" w:hAnsi="Arial"/>
          <w:sz w:val="22"/>
          <w:szCs w:val="22"/>
        </w:rPr>
        <w:t>došlo do njenog oštećenja.</w:t>
      </w:r>
    </w:p>
    <w:p w:rsidR="00366B80" w:rsidRPr="00E43C33" w:rsidRDefault="00366B80" w:rsidP="00366B80">
      <w:pPr>
        <w:ind w:left="-142"/>
        <w:jc w:val="both"/>
        <w:rPr>
          <w:rFonts w:ascii="Arial" w:hAnsi="Arial"/>
          <w:sz w:val="22"/>
          <w:szCs w:val="22"/>
        </w:rPr>
      </w:pPr>
      <w:r>
        <w:rPr>
          <w:rFonts w:ascii="Arial" w:hAnsi="Arial"/>
          <w:sz w:val="22"/>
          <w:szCs w:val="22"/>
        </w:rPr>
        <w:t>-</w:t>
      </w:r>
      <w:r>
        <w:rPr>
          <w:rFonts w:ascii="Arial" w:hAnsi="Arial"/>
          <w:sz w:val="22"/>
          <w:szCs w:val="22"/>
        </w:rPr>
        <w:tab/>
      </w:r>
      <w:r w:rsidRPr="00E43C33">
        <w:rPr>
          <w:rFonts w:ascii="Arial" w:hAnsi="Arial"/>
          <w:sz w:val="22"/>
          <w:szCs w:val="22"/>
        </w:rPr>
        <w:t xml:space="preserve">U razvodne ormare javne rasvjete predviđena je ugradnja </w:t>
      </w:r>
      <w:proofErr w:type="spellStart"/>
      <w:r w:rsidRPr="00E43C33">
        <w:rPr>
          <w:rFonts w:ascii="Arial" w:hAnsi="Arial"/>
          <w:sz w:val="22"/>
          <w:szCs w:val="22"/>
        </w:rPr>
        <w:t>prenaponske</w:t>
      </w:r>
      <w:proofErr w:type="spellEnd"/>
      <w:r w:rsidRPr="00E43C33">
        <w:rPr>
          <w:rFonts w:ascii="Arial" w:hAnsi="Arial"/>
          <w:sz w:val="22"/>
          <w:szCs w:val="22"/>
        </w:rPr>
        <w:t xml:space="preserve"> zaštite. Odvodnicima</w:t>
      </w:r>
      <w:r>
        <w:rPr>
          <w:rFonts w:ascii="Arial" w:hAnsi="Arial"/>
          <w:sz w:val="22"/>
          <w:szCs w:val="22"/>
        </w:rPr>
        <w:t xml:space="preserve"> </w:t>
      </w:r>
      <w:proofErr w:type="spellStart"/>
      <w:r w:rsidRPr="00E43C33">
        <w:rPr>
          <w:rFonts w:ascii="Arial" w:hAnsi="Arial"/>
          <w:sz w:val="22"/>
          <w:szCs w:val="22"/>
        </w:rPr>
        <w:t>prenapona</w:t>
      </w:r>
      <w:proofErr w:type="spellEnd"/>
      <w:r w:rsidRPr="00E43C33">
        <w:rPr>
          <w:rFonts w:ascii="Arial" w:hAnsi="Arial"/>
          <w:sz w:val="22"/>
          <w:szCs w:val="22"/>
        </w:rPr>
        <w:t xml:space="preserve"> štiti se </w:t>
      </w:r>
      <w:r>
        <w:rPr>
          <w:rFonts w:ascii="Arial" w:hAnsi="Arial"/>
          <w:sz w:val="22"/>
          <w:szCs w:val="22"/>
        </w:rPr>
        <w:t>oprema</w:t>
      </w:r>
      <w:r w:rsidRPr="00E43C33">
        <w:rPr>
          <w:rFonts w:ascii="Arial" w:hAnsi="Arial"/>
          <w:sz w:val="22"/>
          <w:szCs w:val="22"/>
        </w:rPr>
        <w:t xml:space="preserve"> </w:t>
      </w:r>
      <w:r>
        <w:rPr>
          <w:rFonts w:ascii="Arial" w:hAnsi="Arial"/>
          <w:sz w:val="22"/>
          <w:szCs w:val="22"/>
        </w:rPr>
        <w:t xml:space="preserve">vanjske </w:t>
      </w:r>
      <w:r w:rsidRPr="00E43C33">
        <w:rPr>
          <w:rFonts w:ascii="Arial" w:hAnsi="Arial"/>
          <w:sz w:val="22"/>
          <w:szCs w:val="22"/>
        </w:rPr>
        <w:t xml:space="preserve">rasvjete od nepovoljnih utjecaja </w:t>
      </w:r>
      <w:proofErr w:type="spellStart"/>
      <w:r w:rsidRPr="00E43C33">
        <w:rPr>
          <w:rFonts w:ascii="Arial" w:hAnsi="Arial"/>
          <w:sz w:val="22"/>
          <w:szCs w:val="22"/>
        </w:rPr>
        <w:t>prenapona</w:t>
      </w:r>
      <w:proofErr w:type="spellEnd"/>
      <w:r w:rsidRPr="00E43C33">
        <w:rPr>
          <w:rFonts w:ascii="Arial" w:hAnsi="Arial"/>
          <w:sz w:val="22"/>
          <w:szCs w:val="22"/>
        </w:rPr>
        <w:t xml:space="preserve">. Ugrađuje se </w:t>
      </w:r>
      <w:proofErr w:type="spellStart"/>
      <w:r w:rsidRPr="00E43C33">
        <w:rPr>
          <w:rFonts w:ascii="Arial" w:hAnsi="Arial"/>
          <w:sz w:val="22"/>
          <w:szCs w:val="22"/>
        </w:rPr>
        <w:t>prenaponska</w:t>
      </w:r>
      <w:proofErr w:type="spellEnd"/>
      <w:r>
        <w:rPr>
          <w:rFonts w:ascii="Arial" w:hAnsi="Arial"/>
          <w:sz w:val="22"/>
          <w:szCs w:val="22"/>
        </w:rPr>
        <w:t xml:space="preserve"> </w:t>
      </w:r>
      <w:r w:rsidRPr="00E43C33">
        <w:rPr>
          <w:rFonts w:ascii="Arial" w:hAnsi="Arial"/>
          <w:sz w:val="22"/>
          <w:szCs w:val="22"/>
        </w:rPr>
        <w:t xml:space="preserve">zaštita </w:t>
      </w:r>
      <w:r>
        <w:rPr>
          <w:rFonts w:ascii="Arial" w:hAnsi="Arial"/>
          <w:sz w:val="22"/>
          <w:szCs w:val="22"/>
        </w:rPr>
        <w:t>klase</w:t>
      </w:r>
      <w:r w:rsidRPr="00E43C33">
        <w:rPr>
          <w:rFonts w:ascii="Arial" w:hAnsi="Arial"/>
          <w:sz w:val="22"/>
          <w:szCs w:val="22"/>
        </w:rPr>
        <w:t xml:space="preserve"> I+II.</w:t>
      </w:r>
    </w:p>
    <w:p w:rsidR="00366B80" w:rsidRPr="00CB7865" w:rsidRDefault="00366B80" w:rsidP="00366B80">
      <w:pPr>
        <w:ind w:left="-142"/>
        <w:jc w:val="both"/>
        <w:rPr>
          <w:rFonts w:ascii="Arial" w:hAnsi="Arial"/>
          <w:sz w:val="22"/>
          <w:szCs w:val="22"/>
        </w:rPr>
      </w:pPr>
      <w:r w:rsidRPr="00CB7865">
        <w:rPr>
          <w:rFonts w:ascii="Arial" w:hAnsi="Arial"/>
          <w:sz w:val="22"/>
          <w:szCs w:val="22"/>
        </w:rPr>
        <w:t>- Izvršiti sva mjerenja u pojedinim fazama izvođenja radova, a koja se u konačnosti više neće</w:t>
      </w:r>
      <w:r>
        <w:rPr>
          <w:rFonts w:ascii="Arial" w:hAnsi="Arial"/>
          <w:sz w:val="22"/>
          <w:szCs w:val="22"/>
        </w:rPr>
        <w:t xml:space="preserve"> </w:t>
      </w:r>
      <w:r w:rsidRPr="00CB7865">
        <w:rPr>
          <w:rFonts w:ascii="Arial" w:hAnsi="Arial"/>
          <w:sz w:val="22"/>
          <w:szCs w:val="22"/>
        </w:rPr>
        <w:t xml:space="preserve">  mjeriti</w:t>
      </w:r>
    </w:p>
    <w:p w:rsidR="00366B80" w:rsidRPr="00CB7865" w:rsidRDefault="00366B80" w:rsidP="00366B80">
      <w:pPr>
        <w:ind w:left="-142"/>
        <w:jc w:val="both"/>
        <w:rPr>
          <w:rFonts w:ascii="Arial" w:hAnsi="Arial"/>
          <w:sz w:val="22"/>
          <w:szCs w:val="22"/>
        </w:rPr>
      </w:pPr>
      <w:r w:rsidRPr="00CB7865">
        <w:rPr>
          <w:rFonts w:ascii="Arial" w:hAnsi="Arial"/>
          <w:sz w:val="22"/>
          <w:szCs w:val="22"/>
        </w:rPr>
        <w:t>- Nakon dovršenja svih radova potrebno je: izmjeriti otpor uzemljenja</w:t>
      </w:r>
      <w:r>
        <w:rPr>
          <w:rFonts w:ascii="Arial" w:hAnsi="Arial"/>
          <w:sz w:val="22"/>
          <w:szCs w:val="22"/>
        </w:rPr>
        <w:t>,</w:t>
      </w:r>
      <w:r w:rsidRPr="00CB7865">
        <w:rPr>
          <w:rFonts w:ascii="Arial" w:hAnsi="Arial"/>
          <w:sz w:val="22"/>
          <w:szCs w:val="22"/>
        </w:rPr>
        <w:t xml:space="preserve"> otpor petlje struje kratkog spoja</w:t>
      </w:r>
      <w:r>
        <w:rPr>
          <w:rFonts w:ascii="Arial" w:hAnsi="Arial"/>
          <w:sz w:val="22"/>
          <w:szCs w:val="22"/>
        </w:rPr>
        <w:t xml:space="preserve">, </w:t>
      </w:r>
      <w:r w:rsidRPr="00CB7865">
        <w:rPr>
          <w:rFonts w:ascii="Arial" w:hAnsi="Arial"/>
          <w:sz w:val="22"/>
          <w:szCs w:val="22"/>
        </w:rPr>
        <w:t>ispitati funkcionalnost i provjeriti efikasnost sistema zaštite od previsokog dodirnog napona</w:t>
      </w:r>
      <w:r>
        <w:rPr>
          <w:rFonts w:ascii="Arial" w:hAnsi="Arial"/>
          <w:sz w:val="22"/>
          <w:szCs w:val="22"/>
        </w:rPr>
        <w:t xml:space="preserve">, </w:t>
      </w:r>
      <w:r w:rsidRPr="00CB7865">
        <w:rPr>
          <w:rFonts w:ascii="Arial" w:hAnsi="Arial"/>
          <w:sz w:val="22"/>
          <w:szCs w:val="22"/>
        </w:rPr>
        <w:t xml:space="preserve">izraditi dokumentaciju izvedenog stanja sa svim izmjenama i dopunama u odnosu na </w:t>
      </w:r>
      <w:r>
        <w:rPr>
          <w:rFonts w:ascii="Arial" w:hAnsi="Arial"/>
          <w:sz w:val="22"/>
          <w:szCs w:val="22"/>
        </w:rPr>
        <w:t>glav</w:t>
      </w:r>
      <w:r w:rsidRPr="00CB7865">
        <w:rPr>
          <w:rFonts w:ascii="Arial" w:hAnsi="Arial"/>
          <w:sz w:val="22"/>
          <w:szCs w:val="22"/>
        </w:rPr>
        <w:t>ni projekt</w:t>
      </w:r>
    </w:p>
    <w:p w:rsidR="00366B80" w:rsidRPr="00CB7865" w:rsidRDefault="00366B80" w:rsidP="00366B80">
      <w:pPr>
        <w:tabs>
          <w:tab w:val="left" w:pos="0"/>
        </w:tabs>
        <w:ind w:left="-142"/>
        <w:jc w:val="both"/>
        <w:rPr>
          <w:rFonts w:ascii="Arial" w:hAnsi="Arial"/>
          <w:sz w:val="22"/>
          <w:szCs w:val="22"/>
        </w:rPr>
      </w:pPr>
      <w:r w:rsidRPr="00CB7865">
        <w:rPr>
          <w:rFonts w:ascii="Arial" w:hAnsi="Arial"/>
          <w:sz w:val="22"/>
          <w:szCs w:val="22"/>
        </w:rPr>
        <w:t xml:space="preserve">- </w:t>
      </w:r>
      <w:r>
        <w:rPr>
          <w:rFonts w:ascii="Arial" w:hAnsi="Arial"/>
          <w:sz w:val="22"/>
          <w:szCs w:val="22"/>
        </w:rPr>
        <w:t>I</w:t>
      </w:r>
      <w:r w:rsidRPr="00CB7865">
        <w:rPr>
          <w:rFonts w:ascii="Arial" w:hAnsi="Arial"/>
          <w:sz w:val="22"/>
          <w:szCs w:val="22"/>
        </w:rPr>
        <w:t xml:space="preserve">zraditi izvještaje o svim mjerenjima i postignutim rezultatima mjerenja, te  o svim </w:t>
      </w:r>
      <w:r w:rsidRPr="00CB7865">
        <w:rPr>
          <w:rFonts w:ascii="Arial" w:hAnsi="Arial"/>
          <w:sz w:val="22"/>
          <w:szCs w:val="22"/>
        </w:rPr>
        <w:tab/>
        <w:t>odstupanjima od projektne dokumentacije tijekom izvođenja radova</w:t>
      </w:r>
    </w:p>
    <w:p w:rsidR="00366B80" w:rsidRPr="00CB7865" w:rsidRDefault="00366B80" w:rsidP="00366B80">
      <w:pPr>
        <w:ind w:left="-142"/>
        <w:jc w:val="both"/>
        <w:rPr>
          <w:rFonts w:ascii="Arial" w:hAnsi="Arial"/>
          <w:sz w:val="22"/>
          <w:szCs w:val="22"/>
        </w:rPr>
      </w:pPr>
      <w:r w:rsidRPr="00CB7865">
        <w:rPr>
          <w:rFonts w:ascii="Arial" w:hAnsi="Arial"/>
          <w:sz w:val="22"/>
          <w:szCs w:val="22"/>
        </w:rPr>
        <w:t>- prije tehničkog pregleda</w:t>
      </w:r>
      <w:r>
        <w:rPr>
          <w:rFonts w:ascii="Arial" w:hAnsi="Arial"/>
          <w:sz w:val="22"/>
          <w:szCs w:val="22"/>
        </w:rPr>
        <w:t xml:space="preserve"> i primopredaje</w:t>
      </w:r>
      <w:r w:rsidRPr="00CB7865">
        <w:rPr>
          <w:rFonts w:ascii="Arial" w:hAnsi="Arial"/>
          <w:sz w:val="22"/>
          <w:szCs w:val="22"/>
        </w:rPr>
        <w:t xml:space="preserve">, izvođač je dužan dostaviti sve ateste, garantne listove i </w:t>
      </w:r>
      <w:proofErr w:type="spellStart"/>
      <w:r w:rsidRPr="00CB7865">
        <w:rPr>
          <w:rFonts w:ascii="Arial" w:hAnsi="Arial"/>
          <w:sz w:val="22"/>
          <w:szCs w:val="22"/>
        </w:rPr>
        <w:t>upustva</w:t>
      </w:r>
      <w:proofErr w:type="spellEnd"/>
      <w:r w:rsidRPr="00CB7865">
        <w:rPr>
          <w:rFonts w:ascii="Arial" w:hAnsi="Arial"/>
          <w:sz w:val="22"/>
          <w:szCs w:val="22"/>
        </w:rPr>
        <w:t xml:space="preserve"> o  korištenju ugrađene opreme</w:t>
      </w:r>
    </w:p>
    <w:p w:rsidR="00366B80" w:rsidRPr="00CB7865" w:rsidRDefault="00366B80" w:rsidP="00366B80">
      <w:pPr>
        <w:ind w:left="-142"/>
        <w:jc w:val="both"/>
        <w:rPr>
          <w:rFonts w:ascii="Arial" w:hAnsi="Arial"/>
          <w:sz w:val="22"/>
          <w:szCs w:val="22"/>
        </w:rPr>
      </w:pPr>
      <w:r w:rsidRPr="00CB7865">
        <w:rPr>
          <w:rFonts w:ascii="Arial" w:hAnsi="Arial"/>
          <w:sz w:val="22"/>
          <w:szCs w:val="22"/>
        </w:rPr>
        <w:t xml:space="preserve">- </w:t>
      </w:r>
      <w:proofErr w:type="spellStart"/>
      <w:r w:rsidRPr="00CB7865">
        <w:rPr>
          <w:rFonts w:ascii="Arial" w:hAnsi="Arial"/>
          <w:sz w:val="22"/>
          <w:szCs w:val="22"/>
        </w:rPr>
        <w:t>krajni</w:t>
      </w:r>
      <w:proofErr w:type="spellEnd"/>
      <w:r w:rsidRPr="00CB7865">
        <w:rPr>
          <w:rFonts w:ascii="Arial" w:hAnsi="Arial"/>
          <w:sz w:val="22"/>
          <w:szCs w:val="22"/>
        </w:rPr>
        <w:t xml:space="preserve"> korisnik tijekom korištenja, dužan je vršiti periodičnu kontrolu ispravnosti i pouzdanosti  sustava od previsokog dodirnog napona </w:t>
      </w:r>
    </w:p>
    <w:p w:rsidR="00366B80" w:rsidRDefault="00366B80" w:rsidP="00366B80">
      <w:pPr>
        <w:ind w:left="-142"/>
        <w:jc w:val="both"/>
        <w:rPr>
          <w:rFonts w:ascii="Arial" w:hAnsi="Arial"/>
          <w:sz w:val="22"/>
          <w:szCs w:val="22"/>
        </w:rPr>
      </w:pPr>
    </w:p>
    <w:p w:rsidR="00366B80" w:rsidRPr="00CB7865" w:rsidRDefault="00366B80" w:rsidP="00366B80">
      <w:pPr>
        <w:ind w:left="-142"/>
        <w:jc w:val="both"/>
        <w:rPr>
          <w:rFonts w:ascii="Arial" w:hAnsi="Arial"/>
          <w:sz w:val="22"/>
          <w:szCs w:val="22"/>
        </w:rPr>
      </w:pPr>
    </w:p>
    <w:p w:rsidR="00366B80" w:rsidRDefault="00366B80" w:rsidP="00366B80">
      <w:pPr>
        <w:tabs>
          <w:tab w:val="left" w:pos="1134"/>
        </w:tabs>
        <w:ind w:left="-142" w:right="-947"/>
        <w:rPr>
          <w:rFonts w:ascii="Arial" w:hAnsi="Arial"/>
          <w:sz w:val="22"/>
          <w:szCs w:val="22"/>
        </w:rPr>
      </w:pPr>
      <w:r w:rsidRPr="00CB7865">
        <w:rPr>
          <w:rFonts w:ascii="Arial" w:hAnsi="Arial"/>
          <w:sz w:val="22"/>
          <w:szCs w:val="22"/>
        </w:rPr>
        <w:t>2.</w:t>
      </w:r>
      <w:r>
        <w:rPr>
          <w:rFonts w:ascii="Arial" w:hAnsi="Arial"/>
          <w:sz w:val="22"/>
          <w:szCs w:val="22"/>
        </w:rPr>
        <w:t>5</w:t>
      </w:r>
      <w:r w:rsidRPr="00CB7865">
        <w:rPr>
          <w:rFonts w:ascii="Arial" w:hAnsi="Arial"/>
          <w:sz w:val="22"/>
          <w:szCs w:val="22"/>
        </w:rPr>
        <w:t>.</w:t>
      </w:r>
      <w:r w:rsidRPr="00CB7865">
        <w:rPr>
          <w:rFonts w:ascii="Arial" w:hAnsi="Arial"/>
          <w:sz w:val="22"/>
          <w:szCs w:val="22"/>
        </w:rPr>
        <w:tab/>
        <w:t>Pro</w:t>
      </w:r>
      <w:r>
        <w:rPr>
          <w:rFonts w:ascii="Arial" w:hAnsi="Arial"/>
          <w:sz w:val="22"/>
          <w:szCs w:val="22"/>
        </w:rPr>
        <w:t>jektirani vijek uporabe i uvjeti održavanja</w:t>
      </w:r>
    </w:p>
    <w:p w:rsidR="00366B80" w:rsidRDefault="00366B80" w:rsidP="00366B80">
      <w:pPr>
        <w:tabs>
          <w:tab w:val="left" w:pos="1134"/>
        </w:tabs>
        <w:ind w:left="-142" w:right="-947"/>
        <w:jc w:val="both"/>
        <w:rPr>
          <w:rFonts w:ascii="Arial" w:hAnsi="Arial"/>
          <w:sz w:val="22"/>
          <w:szCs w:val="22"/>
        </w:rPr>
      </w:pPr>
    </w:p>
    <w:p w:rsidR="00366B80" w:rsidRDefault="00366B80" w:rsidP="00366B80">
      <w:pPr>
        <w:tabs>
          <w:tab w:val="left" w:pos="1134"/>
        </w:tabs>
        <w:ind w:left="-142" w:right="-947"/>
        <w:rPr>
          <w:rFonts w:ascii="Arial" w:hAnsi="Arial"/>
          <w:sz w:val="22"/>
          <w:szCs w:val="22"/>
        </w:rPr>
      </w:pPr>
      <w:r w:rsidRPr="00CB7865">
        <w:rPr>
          <w:rFonts w:ascii="Arial" w:hAnsi="Arial"/>
          <w:sz w:val="22"/>
          <w:szCs w:val="22"/>
        </w:rPr>
        <w:t>2.</w:t>
      </w:r>
      <w:r>
        <w:rPr>
          <w:rFonts w:ascii="Arial" w:hAnsi="Arial"/>
          <w:sz w:val="22"/>
          <w:szCs w:val="22"/>
        </w:rPr>
        <w:t>5</w:t>
      </w:r>
      <w:r w:rsidRPr="00CB7865">
        <w:rPr>
          <w:rFonts w:ascii="Arial" w:hAnsi="Arial"/>
          <w:sz w:val="22"/>
          <w:szCs w:val="22"/>
        </w:rPr>
        <w:t>.</w:t>
      </w:r>
      <w:r>
        <w:rPr>
          <w:rFonts w:ascii="Arial" w:hAnsi="Arial"/>
          <w:sz w:val="22"/>
          <w:szCs w:val="22"/>
        </w:rPr>
        <w:t>1.</w:t>
      </w:r>
      <w:r w:rsidRPr="00CB7865">
        <w:rPr>
          <w:rFonts w:ascii="Arial" w:hAnsi="Arial"/>
          <w:sz w:val="22"/>
          <w:szCs w:val="22"/>
        </w:rPr>
        <w:tab/>
      </w:r>
      <w:r>
        <w:rPr>
          <w:rFonts w:ascii="Arial" w:hAnsi="Arial"/>
          <w:sz w:val="22"/>
          <w:szCs w:val="22"/>
        </w:rPr>
        <w:t xml:space="preserve">Vijek uporabe </w:t>
      </w:r>
    </w:p>
    <w:p w:rsidR="00366B80" w:rsidRDefault="00366B80" w:rsidP="00366B80">
      <w:pPr>
        <w:tabs>
          <w:tab w:val="left" w:pos="1134"/>
        </w:tabs>
        <w:ind w:left="-142" w:right="-947"/>
        <w:jc w:val="both"/>
        <w:rPr>
          <w:rFonts w:ascii="Arial" w:hAnsi="Arial"/>
          <w:sz w:val="22"/>
          <w:szCs w:val="22"/>
        </w:rPr>
      </w:pPr>
    </w:p>
    <w:p w:rsidR="00366B80" w:rsidRDefault="00366B80" w:rsidP="00366B80">
      <w:pPr>
        <w:ind w:left="-142"/>
        <w:jc w:val="both"/>
        <w:rPr>
          <w:rFonts w:ascii="Arial" w:hAnsi="Arial"/>
          <w:sz w:val="22"/>
          <w:szCs w:val="22"/>
        </w:rPr>
      </w:pPr>
      <w:r w:rsidRPr="00805E92">
        <w:rPr>
          <w:rFonts w:ascii="Arial" w:hAnsi="Arial"/>
          <w:sz w:val="22"/>
          <w:szCs w:val="22"/>
        </w:rPr>
        <w:lastRenderedPageBreak/>
        <w:t>Projektom predviđen</w:t>
      </w:r>
      <w:r>
        <w:rPr>
          <w:rFonts w:ascii="Arial" w:hAnsi="Arial"/>
          <w:sz w:val="22"/>
          <w:szCs w:val="22"/>
        </w:rPr>
        <w:t xml:space="preserve">a rasvjetna tijela (svjetiljke i reflektori) i prateća pomoćna oprema sustava rasvjete, osiguravaju vijek trajanja od minimalno 20 godina, a za kabele i </w:t>
      </w:r>
      <w:r w:rsidRPr="00805E92">
        <w:rPr>
          <w:rFonts w:ascii="Arial" w:hAnsi="Arial"/>
          <w:sz w:val="22"/>
          <w:szCs w:val="22"/>
        </w:rPr>
        <w:t>elektroinstalacijsk</w:t>
      </w:r>
      <w:r>
        <w:rPr>
          <w:rFonts w:ascii="Arial" w:hAnsi="Arial"/>
          <w:sz w:val="22"/>
          <w:szCs w:val="22"/>
        </w:rPr>
        <w:t>e</w:t>
      </w:r>
      <w:r w:rsidRPr="00805E92">
        <w:rPr>
          <w:rFonts w:ascii="Arial" w:hAnsi="Arial"/>
          <w:sz w:val="22"/>
          <w:szCs w:val="22"/>
        </w:rPr>
        <w:t xml:space="preserve"> materijal</w:t>
      </w:r>
      <w:r>
        <w:rPr>
          <w:rFonts w:ascii="Arial" w:hAnsi="Arial"/>
          <w:sz w:val="22"/>
          <w:szCs w:val="22"/>
        </w:rPr>
        <w:t>e</w:t>
      </w:r>
      <w:r w:rsidRPr="00805E92">
        <w:rPr>
          <w:rFonts w:ascii="Arial" w:hAnsi="Arial"/>
          <w:sz w:val="22"/>
          <w:szCs w:val="22"/>
        </w:rPr>
        <w:t xml:space="preserve"> </w:t>
      </w:r>
      <w:r>
        <w:rPr>
          <w:rFonts w:ascii="Arial" w:hAnsi="Arial"/>
          <w:sz w:val="22"/>
          <w:szCs w:val="22"/>
        </w:rPr>
        <w:t xml:space="preserve">predviđene ovim projektom </w:t>
      </w:r>
      <w:r w:rsidRPr="00805E92">
        <w:rPr>
          <w:rFonts w:ascii="Arial" w:hAnsi="Arial"/>
          <w:sz w:val="22"/>
          <w:szCs w:val="22"/>
        </w:rPr>
        <w:t xml:space="preserve">osiguravaju vijek trajanja </w:t>
      </w:r>
      <w:r>
        <w:rPr>
          <w:rFonts w:ascii="Arial" w:hAnsi="Arial"/>
          <w:sz w:val="22"/>
          <w:szCs w:val="22"/>
        </w:rPr>
        <w:t xml:space="preserve">od </w:t>
      </w:r>
      <w:r w:rsidRPr="00805E92">
        <w:rPr>
          <w:rFonts w:ascii="Arial" w:hAnsi="Arial"/>
          <w:sz w:val="22"/>
          <w:szCs w:val="22"/>
        </w:rPr>
        <w:t xml:space="preserve">minimalno 40 godina. </w:t>
      </w:r>
    </w:p>
    <w:p w:rsidR="00366B80" w:rsidRDefault="00366B80" w:rsidP="00366B80">
      <w:pPr>
        <w:ind w:left="-142"/>
        <w:jc w:val="both"/>
        <w:rPr>
          <w:rFonts w:ascii="Arial" w:hAnsi="Arial"/>
          <w:sz w:val="22"/>
          <w:szCs w:val="22"/>
        </w:rPr>
      </w:pPr>
    </w:p>
    <w:p w:rsidR="00366B80" w:rsidRDefault="00366B80" w:rsidP="00366B80">
      <w:pPr>
        <w:tabs>
          <w:tab w:val="left" w:pos="1134"/>
        </w:tabs>
        <w:ind w:left="-142" w:right="-947"/>
        <w:rPr>
          <w:rFonts w:ascii="Arial" w:hAnsi="Arial"/>
          <w:sz w:val="22"/>
          <w:szCs w:val="22"/>
        </w:rPr>
      </w:pPr>
      <w:r w:rsidRPr="00CB7865">
        <w:rPr>
          <w:rFonts w:ascii="Arial" w:hAnsi="Arial"/>
          <w:sz w:val="22"/>
          <w:szCs w:val="22"/>
        </w:rPr>
        <w:t>2.</w:t>
      </w:r>
      <w:r>
        <w:rPr>
          <w:rFonts w:ascii="Arial" w:hAnsi="Arial"/>
          <w:sz w:val="22"/>
          <w:szCs w:val="22"/>
        </w:rPr>
        <w:t>5</w:t>
      </w:r>
      <w:r w:rsidRPr="00CB7865">
        <w:rPr>
          <w:rFonts w:ascii="Arial" w:hAnsi="Arial"/>
          <w:sz w:val="22"/>
          <w:szCs w:val="22"/>
        </w:rPr>
        <w:t>.</w:t>
      </w:r>
      <w:r>
        <w:rPr>
          <w:rFonts w:ascii="Arial" w:hAnsi="Arial"/>
          <w:sz w:val="22"/>
          <w:szCs w:val="22"/>
        </w:rPr>
        <w:t>2.</w:t>
      </w:r>
      <w:r w:rsidRPr="00CB7865">
        <w:rPr>
          <w:rFonts w:ascii="Arial" w:hAnsi="Arial"/>
          <w:sz w:val="22"/>
          <w:szCs w:val="22"/>
        </w:rPr>
        <w:tab/>
      </w:r>
      <w:r>
        <w:rPr>
          <w:rFonts w:ascii="Arial" w:hAnsi="Arial"/>
          <w:sz w:val="22"/>
          <w:szCs w:val="22"/>
        </w:rPr>
        <w:t xml:space="preserve">Uvjeti održavanja </w:t>
      </w:r>
    </w:p>
    <w:p w:rsidR="00366B80" w:rsidRDefault="00366B80" w:rsidP="00366B80">
      <w:pPr>
        <w:ind w:left="-142"/>
        <w:jc w:val="both"/>
        <w:rPr>
          <w:rFonts w:ascii="Arial" w:hAnsi="Arial"/>
          <w:sz w:val="22"/>
          <w:szCs w:val="22"/>
        </w:rPr>
      </w:pPr>
    </w:p>
    <w:p w:rsidR="00366B80" w:rsidRPr="00763B4B" w:rsidRDefault="00366B80" w:rsidP="00366B80">
      <w:pPr>
        <w:ind w:left="-142"/>
        <w:jc w:val="both"/>
        <w:rPr>
          <w:rFonts w:ascii="Arial" w:hAnsi="Arial"/>
          <w:sz w:val="22"/>
          <w:szCs w:val="22"/>
        </w:rPr>
      </w:pPr>
      <w:r w:rsidRPr="00763B4B">
        <w:rPr>
          <w:rFonts w:ascii="Arial" w:hAnsi="Arial"/>
          <w:sz w:val="22"/>
          <w:szCs w:val="22"/>
        </w:rPr>
        <w:t xml:space="preserve">U </w:t>
      </w:r>
      <w:r>
        <w:rPr>
          <w:rFonts w:ascii="Arial" w:hAnsi="Arial"/>
          <w:sz w:val="22"/>
          <w:szCs w:val="22"/>
        </w:rPr>
        <w:t>cilju</w:t>
      </w:r>
      <w:r w:rsidRPr="00763B4B">
        <w:rPr>
          <w:rFonts w:ascii="Arial" w:hAnsi="Arial"/>
          <w:sz w:val="22"/>
          <w:szCs w:val="22"/>
        </w:rPr>
        <w:t xml:space="preserve"> zadržavanja postignute kvalitete, a s ciljem zadovoljavanja sigurnosti i pouzdanosti </w:t>
      </w:r>
      <w:r>
        <w:rPr>
          <w:rFonts w:ascii="Arial" w:hAnsi="Arial"/>
          <w:sz w:val="22"/>
          <w:szCs w:val="22"/>
        </w:rPr>
        <w:t>rada vanjske rasvjete</w:t>
      </w:r>
      <w:r w:rsidRPr="00763B4B">
        <w:rPr>
          <w:rFonts w:ascii="Arial" w:hAnsi="Arial"/>
          <w:sz w:val="22"/>
          <w:szCs w:val="22"/>
        </w:rPr>
        <w:t>,</w:t>
      </w:r>
      <w:r>
        <w:rPr>
          <w:rFonts w:ascii="Arial" w:hAnsi="Arial"/>
          <w:sz w:val="22"/>
          <w:szCs w:val="22"/>
        </w:rPr>
        <w:t xml:space="preserve"> </w:t>
      </w:r>
      <w:r w:rsidRPr="00763B4B">
        <w:rPr>
          <w:rFonts w:ascii="Arial" w:hAnsi="Arial"/>
          <w:sz w:val="22"/>
          <w:szCs w:val="22"/>
        </w:rPr>
        <w:t xml:space="preserve">investitor je dužan izraditi i provoditi program održavanja </w:t>
      </w:r>
      <w:r>
        <w:rPr>
          <w:rFonts w:ascii="Arial" w:hAnsi="Arial"/>
          <w:sz w:val="22"/>
          <w:szCs w:val="22"/>
        </w:rPr>
        <w:t>objekta rasvjete</w:t>
      </w:r>
      <w:r w:rsidRPr="00763B4B">
        <w:rPr>
          <w:rFonts w:ascii="Arial" w:hAnsi="Arial"/>
          <w:sz w:val="22"/>
          <w:szCs w:val="22"/>
        </w:rPr>
        <w:t xml:space="preserve"> tijekom njenog korištenja. Prilikom</w:t>
      </w:r>
      <w:r>
        <w:rPr>
          <w:rFonts w:ascii="Arial" w:hAnsi="Arial"/>
          <w:sz w:val="22"/>
          <w:szCs w:val="22"/>
        </w:rPr>
        <w:t xml:space="preserve"> </w:t>
      </w:r>
      <w:r w:rsidRPr="00763B4B">
        <w:rPr>
          <w:rFonts w:ascii="Arial" w:hAnsi="Arial"/>
          <w:sz w:val="22"/>
          <w:szCs w:val="22"/>
        </w:rPr>
        <w:t>izrade programa održavanja treba poštovati upute proizvođača opreme,te zahtjeve tehničkih propisa i</w:t>
      </w:r>
      <w:r>
        <w:rPr>
          <w:rFonts w:ascii="Arial" w:hAnsi="Arial"/>
          <w:sz w:val="22"/>
          <w:szCs w:val="22"/>
        </w:rPr>
        <w:t xml:space="preserve"> </w:t>
      </w:r>
      <w:r w:rsidRPr="00763B4B">
        <w:rPr>
          <w:rFonts w:ascii="Arial" w:hAnsi="Arial"/>
          <w:sz w:val="22"/>
          <w:szCs w:val="22"/>
        </w:rPr>
        <w:t>normi, koji definiraju određene obveze investitora u pogledu periodičnosti te opsega pregleda,</w:t>
      </w:r>
      <w:r>
        <w:rPr>
          <w:rFonts w:ascii="Arial" w:hAnsi="Arial"/>
          <w:sz w:val="22"/>
          <w:szCs w:val="22"/>
        </w:rPr>
        <w:t xml:space="preserve"> </w:t>
      </w:r>
      <w:r w:rsidRPr="00763B4B">
        <w:rPr>
          <w:rFonts w:ascii="Arial" w:hAnsi="Arial"/>
          <w:sz w:val="22"/>
          <w:szCs w:val="22"/>
        </w:rPr>
        <w:t>servisa, ispitivanja i mjerenja.</w:t>
      </w:r>
    </w:p>
    <w:p w:rsidR="00366B80" w:rsidRPr="00763B4B" w:rsidRDefault="00366B80" w:rsidP="00366B80">
      <w:pPr>
        <w:ind w:left="-142"/>
        <w:jc w:val="both"/>
        <w:rPr>
          <w:rFonts w:ascii="Arial" w:hAnsi="Arial"/>
          <w:sz w:val="22"/>
          <w:szCs w:val="22"/>
        </w:rPr>
      </w:pPr>
      <w:r w:rsidRPr="00763B4B">
        <w:rPr>
          <w:rFonts w:ascii="Arial" w:hAnsi="Arial"/>
          <w:sz w:val="22"/>
          <w:szCs w:val="22"/>
        </w:rPr>
        <w:t>Osnovni uvjeti održavanja elektroinstalacije i sustava zaštite od munje su osiguranje funkcionalnosti</w:t>
      </w:r>
      <w:r>
        <w:rPr>
          <w:rFonts w:ascii="Arial" w:hAnsi="Arial"/>
          <w:sz w:val="22"/>
          <w:szCs w:val="22"/>
        </w:rPr>
        <w:t xml:space="preserve"> </w:t>
      </w:r>
      <w:r w:rsidRPr="00763B4B">
        <w:rPr>
          <w:rFonts w:ascii="Arial" w:hAnsi="Arial"/>
          <w:sz w:val="22"/>
          <w:szCs w:val="22"/>
        </w:rPr>
        <w:t>instalacije te osiguranje ispravnog rada zaštitnih uređaja od štetnih posljedica opasnog dodirnog</w:t>
      </w:r>
      <w:r>
        <w:rPr>
          <w:rFonts w:ascii="Arial" w:hAnsi="Arial"/>
          <w:sz w:val="22"/>
          <w:szCs w:val="22"/>
        </w:rPr>
        <w:t xml:space="preserve"> </w:t>
      </w:r>
      <w:r w:rsidRPr="00763B4B">
        <w:rPr>
          <w:rFonts w:ascii="Arial" w:hAnsi="Arial"/>
          <w:sz w:val="22"/>
          <w:szCs w:val="22"/>
        </w:rPr>
        <w:t>napona i zaštitnih uređaja od preopterećenja i kratkih spojeva. Da bi se gornji ciljevi ostvarili potrebno</w:t>
      </w:r>
      <w:r>
        <w:rPr>
          <w:rFonts w:ascii="Arial" w:hAnsi="Arial"/>
          <w:sz w:val="22"/>
          <w:szCs w:val="22"/>
        </w:rPr>
        <w:t xml:space="preserve"> </w:t>
      </w:r>
      <w:r w:rsidRPr="00763B4B">
        <w:rPr>
          <w:rFonts w:ascii="Arial" w:hAnsi="Arial"/>
          <w:sz w:val="22"/>
          <w:szCs w:val="22"/>
        </w:rPr>
        <w:t xml:space="preserve">je redovito održavati instalacije. Za kvalitetno održavanje elektroinstalacija potrebno je </w:t>
      </w:r>
      <w:r>
        <w:rPr>
          <w:rFonts w:ascii="Arial" w:hAnsi="Arial"/>
          <w:sz w:val="22"/>
          <w:szCs w:val="22"/>
        </w:rPr>
        <w:t xml:space="preserve">zaposliti ovlaštenog stručnog djelatnika (djelatnike) ili poslove povjeriti  </w:t>
      </w:r>
      <w:r w:rsidRPr="00763B4B">
        <w:rPr>
          <w:rFonts w:ascii="Arial" w:hAnsi="Arial"/>
          <w:sz w:val="22"/>
          <w:szCs w:val="22"/>
        </w:rPr>
        <w:t>ovlašteno</w:t>
      </w:r>
      <w:r>
        <w:rPr>
          <w:rFonts w:ascii="Arial" w:hAnsi="Arial"/>
          <w:sz w:val="22"/>
          <w:szCs w:val="22"/>
        </w:rPr>
        <w:t xml:space="preserve">j </w:t>
      </w:r>
      <w:r w:rsidRPr="00763B4B">
        <w:rPr>
          <w:rFonts w:ascii="Arial" w:hAnsi="Arial"/>
          <w:sz w:val="22"/>
          <w:szCs w:val="22"/>
        </w:rPr>
        <w:t>pravno</w:t>
      </w:r>
      <w:r>
        <w:rPr>
          <w:rFonts w:ascii="Arial" w:hAnsi="Arial"/>
          <w:sz w:val="22"/>
          <w:szCs w:val="22"/>
        </w:rPr>
        <w:t>j</w:t>
      </w:r>
      <w:r w:rsidRPr="00763B4B">
        <w:rPr>
          <w:rFonts w:ascii="Arial" w:hAnsi="Arial"/>
          <w:sz w:val="22"/>
          <w:szCs w:val="22"/>
        </w:rPr>
        <w:t xml:space="preserve"> osob</w:t>
      </w:r>
      <w:r>
        <w:rPr>
          <w:rFonts w:ascii="Arial" w:hAnsi="Arial"/>
          <w:sz w:val="22"/>
          <w:szCs w:val="22"/>
        </w:rPr>
        <w:t>i i</w:t>
      </w:r>
      <w:r w:rsidRPr="00763B4B">
        <w:rPr>
          <w:rFonts w:ascii="Arial" w:hAnsi="Arial"/>
          <w:sz w:val="22"/>
          <w:szCs w:val="22"/>
        </w:rPr>
        <w:t xml:space="preserve"> sklopiti </w:t>
      </w:r>
      <w:r>
        <w:rPr>
          <w:rFonts w:ascii="Arial" w:hAnsi="Arial"/>
          <w:sz w:val="22"/>
          <w:szCs w:val="22"/>
        </w:rPr>
        <w:t>u</w:t>
      </w:r>
      <w:r w:rsidRPr="00763B4B">
        <w:rPr>
          <w:rFonts w:ascii="Arial" w:hAnsi="Arial"/>
          <w:sz w:val="22"/>
          <w:szCs w:val="22"/>
        </w:rPr>
        <w:t>govor o redovitom održavanju.</w:t>
      </w:r>
    </w:p>
    <w:p w:rsidR="00366B80" w:rsidRPr="00763B4B" w:rsidRDefault="00366B80" w:rsidP="00366B80">
      <w:pPr>
        <w:ind w:left="-142"/>
        <w:jc w:val="both"/>
        <w:rPr>
          <w:rFonts w:ascii="Arial" w:hAnsi="Arial"/>
          <w:sz w:val="22"/>
          <w:szCs w:val="22"/>
        </w:rPr>
      </w:pPr>
      <w:r w:rsidRPr="00763B4B">
        <w:rPr>
          <w:rFonts w:ascii="Arial" w:hAnsi="Arial"/>
          <w:sz w:val="22"/>
          <w:szCs w:val="22"/>
        </w:rPr>
        <w:t xml:space="preserve">Pri održavanju elektroinstalacija i sustava za zaštitu od munje </w:t>
      </w:r>
      <w:r>
        <w:rPr>
          <w:rFonts w:ascii="Arial" w:hAnsi="Arial"/>
          <w:sz w:val="22"/>
          <w:szCs w:val="22"/>
        </w:rPr>
        <w:t xml:space="preserve">objekta vanjske rasvjete, </w:t>
      </w:r>
      <w:r w:rsidRPr="00763B4B">
        <w:rPr>
          <w:rFonts w:ascii="Arial" w:hAnsi="Arial"/>
          <w:sz w:val="22"/>
          <w:szCs w:val="22"/>
        </w:rPr>
        <w:t>potrebno je otvoriti knjigu održavanja u</w:t>
      </w:r>
      <w:r>
        <w:rPr>
          <w:rFonts w:ascii="Arial" w:hAnsi="Arial"/>
          <w:sz w:val="22"/>
          <w:szCs w:val="22"/>
        </w:rPr>
        <w:t xml:space="preserve"> </w:t>
      </w:r>
      <w:r w:rsidRPr="00763B4B">
        <w:rPr>
          <w:rFonts w:ascii="Arial" w:hAnsi="Arial"/>
          <w:sz w:val="22"/>
          <w:szCs w:val="22"/>
        </w:rPr>
        <w:t>koju će se upisivati sve radnje koje budu izvršene tijekom pregleda i održavanja instalacije.</w:t>
      </w:r>
    </w:p>
    <w:p w:rsidR="00366B80" w:rsidRPr="00763B4B" w:rsidRDefault="00366B80" w:rsidP="00366B80">
      <w:pPr>
        <w:ind w:left="-142"/>
        <w:jc w:val="both"/>
        <w:rPr>
          <w:rFonts w:ascii="Arial" w:hAnsi="Arial"/>
          <w:sz w:val="22"/>
          <w:szCs w:val="22"/>
        </w:rPr>
      </w:pPr>
      <w:r w:rsidRPr="00763B4B">
        <w:rPr>
          <w:rFonts w:ascii="Arial" w:hAnsi="Arial"/>
          <w:sz w:val="22"/>
          <w:szCs w:val="22"/>
        </w:rPr>
        <w:t>Tijekom redovnog održavanja postrojenja treba provesti kontrolu:</w:t>
      </w:r>
    </w:p>
    <w:p w:rsidR="00366B80" w:rsidRPr="00763B4B" w:rsidRDefault="00366B80" w:rsidP="00366B80">
      <w:pPr>
        <w:numPr>
          <w:ilvl w:val="0"/>
          <w:numId w:val="20"/>
        </w:numPr>
        <w:jc w:val="both"/>
        <w:rPr>
          <w:rFonts w:ascii="Arial" w:hAnsi="Arial"/>
          <w:sz w:val="22"/>
          <w:szCs w:val="22"/>
        </w:rPr>
      </w:pPr>
      <w:r w:rsidRPr="00763B4B">
        <w:rPr>
          <w:rFonts w:ascii="Arial" w:hAnsi="Arial"/>
          <w:sz w:val="22"/>
          <w:szCs w:val="22"/>
        </w:rPr>
        <w:t>Pouzdanosti – jednom godišnje</w:t>
      </w:r>
    </w:p>
    <w:p w:rsidR="00366B80" w:rsidRPr="00763B4B" w:rsidRDefault="00366B80" w:rsidP="00366B80">
      <w:pPr>
        <w:numPr>
          <w:ilvl w:val="0"/>
          <w:numId w:val="20"/>
        </w:numPr>
        <w:jc w:val="both"/>
        <w:rPr>
          <w:rFonts w:ascii="Arial" w:hAnsi="Arial"/>
          <w:sz w:val="22"/>
          <w:szCs w:val="22"/>
        </w:rPr>
      </w:pPr>
      <w:r w:rsidRPr="00763B4B">
        <w:rPr>
          <w:rFonts w:ascii="Arial" w:hAnsi="Arial"/>
          <w:sz w:val="22"/>
          <w:szCs w:val="22"/>
        </w:rPr>
        <w:t>Mehaničke otpornosti – jednom u dvije godine</w:t>
      </w:r>
    </w:p>
    <w:p w:rsidR="00366B80" w:rsidRPr="00763B4B" w:rsidRDefault="00366B80" w:rsidP="00366B80">
      <w:pPr>
        <w:numPr>
          <w:ilvl w:val="0"/>
          <w:numId w:val="20"/>
        </w:numPr>
        <w:jc w:val="both"/>
        <w:rPr>
          <w:rFonts w:ascii="Arial" w:hAnsi="Arial"/>
          <w:sz w:val="22"/>
          <w:szCs w:val="22"/>
        </w:rPr>
      </w:pPr>
      <w:r w:rsidRPr="00763B4B">
        <w:rPr>
          <w:rFonts w:ascii="Arial" w:hAnsi="Arial"/>
          <w:sz w:val="22"/>
          <w:szCs w:val="22"/>
        </w:rPr>
        <w:t>Antikorozivne zaštite – jednom godišnje</w:t>
      </w:r>
    </w:p>
    <w:p w:rsidR="00366B80" w:rsidRPr="00763B4B" w:rsidRDefault="00366B80" w:rsidP="00366B80">
      <w:pPr>
        <w:ind w:left="-142"/>
        <w:jc w:val="both"/>
        <w:rPr>
          <w:rFonts w:ascii="Arial" w:hAnsi="Arial"/>
          <w:sz w:val="22"/>
          <w:szCs w:val="22"/>
        </w:rPr>
      </w:pPr>
      <w:r w:rsidRPr="00763B4B">
        <w:rPr>
          <w:rFonts w:ascii="Arial" w:hAnsi="Arial"/>
          <w:sz w:val="22"/>
          <w:szCs w:val="22"/>
        </w:rPr>
        <w:t xml:space="preserve">Najmanje jednom mjesečno treba izvršiti preventivni i servisni pregled </w:t>
      </w:r>
      <w:r>
        <w:rPr>
          <w:rFonts w:ascii="Arial" w:hAnsi="Arial"/>
          <w:sz w:val="22"/>
          <w:szCs w:val="22"/>
        </w:rPr>
        <w:t>vanjske rasvjete i</w:t>
      </w:r>
      <w:r w:rsidRPr="00763B4B">
        <w:rPr>
          <w:rFonts w:ascii="Arial" w:hAnsi="Arial"/>
          <w:sz w:val="22"/>
          <w:szCs w:val="22"/>
        </w:rPr>
        <w:t xml:space="preserve"> poduzeti mjere</w:t>
      </w:r>
      <w:r>
        <w:rPr>
          <w:rFonts w:ascii="Arial" w:hAnsi="Arial"/>
          <w:sz w:val="22"/>
          <w:szCs w:val="22"/>
        </w:rPr>
        <w:t xml:space="preserve"> </w:t>
      </w:r>
      <w:r w:rsidRPr="00763B4B">
        <w:rPr>
          <w:rFonts w:ascii="Arial" w:hAnsi="Arial"/>
          <w:sz w:val="22"/>
          <w:szCs w:val="22"/>
        </w:rPr>
        <w:t>za otklanjanje uočenih grešaka i nedostataka.</w:t>
      </w:r>
    </w:p>
    <w:p w:rsidR="00366B80" w:rsidRDefault="00366B80" w:rsidP="00366B80">
      <w:pPr>
        <w:ind w:left="-142"/>
        <w:jc w:val="both"/>
        <w:rPr>
          <w:rFonts w:ascii="Arial" w:hAnsi="Arial"/>
          <w:sz w:val="22"/>
          <w:szCs w:val="22"/>
        </w:rPr>
      </w:pPr>
      <w:r w:rsidRPr="00763B4B">
        <w:rPr>
          <w:rFonts w:ascii="Arial" w:hAnsi="Arial"/>
          <w:sz w:val="22"/>
          <w:szCs w:val="22"/>
        </w:rPr>
        <w:t xml:space="preserve">Najmanje dvaput godišnje treba izvršiti funkcionalno ispitivanje </w:t>
      </w:r>
      <w:r>
        <w:rPr>
          <w:rFonts w:ascii="Arial" w:hAnsi="Arial"/>
          <w:sz w:val="22"/>
          <w:szCs w:val="22"/>
        </w:rPr>
        <w:t>vanjske rasvjete</w:t>
      </w:r>
      <w:r w:rsidRPr="00763B4B">
        <w:rPr>
          <w:rFonts w:ascii="Arial" w:hAnsi="Arial"/>
          <w:sz w:val="22"/>
          <w:szCs w:val="22"/>
        </w:rPr>
        <w:t xml:space="preserve"> te izvršiti popravak</w:t>
      </w:r>
      <w:r>
        <w:rPr>
          <w:rFonts w:ascii="Arial" w:hAnsi="Arial"/>
          <w:sz w:val="22"/>
          <w:szCs w:val="22"/>
        </w:rPr>
        <w:t xml:space="preserve"> ili zamjenu neispravnih dijelova ili uređaja.</w:t>
      </w:r>
    </w:p>
    <w:p w:rsidR="00366B80" w:rsidRDefault="00366B80" w:rsidP="00366B80">
      <w:pPr>
        <w:ind w:left="-142"/>
        <w:jc w:val="both"/>
        <w:rPr>
          <w:rFonts w:ascii="Arial" w:hAnsi="Arial"/>
          <w:sz w:val="22"/>
          <w:szCs w:val="22"/>
        </w:rPr>
      </w:pPr>
    </w:p>
    <w:p w:rsidR="00366B80" w:rsidRPr="00763B4B" w:rsidRDefault="00366B80" w:rsidP="00366B80">
      <w:pPr>
        <w:ind w:left="-142"/>
        <w:jc w:val="both"/>
        <w:rPr>
          <w:rFonts w:ascii="Arial" w:hAnsi="Arial"/>
          <w:sz w:val="22"/>
          <w:szCs w:val="22"/>
        </w:rPr>
      </w:pPr>
      <w:r w:rsidRPr="00763B4B">
        <w:rPr>
          <w:rFonts w:ascii="Arial" w:hAnsi="Arial"/>
          <w:sz w:val="22"/>
          <w:szCs w:val="22"/>
        </w:rPr>
        <w:t>Smjernice i osnove za planiranje kao i radovi te rokovi uz redovno održavanje elektroenergetskih</w:t>
      </w:r>
    </w:p>
    <w:p w:rsidR="00366B80" w:rsidRPr="00763B4B" w:rsidRDefault="00366B80" w:rsidP="00366B80">
      <w:pPr>
        <w:ind w:left="-142"/>
        <w:jc w:val="both"/>
        <w:rPr>
          <w:rFonts w:ascii="Arial" w:hAnsi="Arial"/>
          <w:sz w:val="22"/>
          <w:szCs w:val="22"/>
        </w:rPr>
      </w:pPr>
      <w:r w:rsidRPr="00763B4B">
        <w:rPr>
          <w:rFonts w:ascii="Arial" w:hAnsi="Arial"/>
          <w:sz w:val="22"/>
          <w:szCs w:val="22"/>
        </w:rPr>
        <w:t>postrojenja definirani su Pravilnikom o održavanju elektroenergetskih postrojenja.</w:t>
      </w:r>
    </w:p>
    <w:p w:rsidR="00366B80" w:rsidRDefault="00366B80" w:rsidP="00366B80">
      <w:pPr>
        <w:ind w:left="-142"/>
        <w:jc w:val="both"/>
        <w:rPr>
          <w:rFonts w:ascii="Arial" w:hAnsi="Arial"/>
          <w:sz w:val="22"/>
          <w:szCs w:val="22"/>
        </w:rPr>
      </w:pPr>
      <w:r w:rsidRPr="00763B4B">
        <w:rPr>
          <w:rFonts w:ascii="Arial" w:hAnsi="Arial"/>
          <w:sz w:val="22"/>
          <w:szCs w:val="22"/>
        </w:rPr>
        <w:t>Pregledom postrojenja potrebno je kontrolirati stanje sljedećih elemenata sustava:</w:t>
      </w:r>
    </w:p>
    <w:p w:rsidR="00366B80" w:rsidRDefault="00366B80" w:rsidP="00366B80">
      <w:pPr>
        <w:ind w:left="-142"/>
        <w:jc w:val="both"/>
        <w:rPr>
          <w:rFonts w:ascii="Arial" w:hAnsi="Arial"/>
          <w:sz w:val="22"/>
          <w:szCs w:val="22"/>
        </w:rPr>
      </w:pPr>
    </w:p>
    <w:p w:rsidR="00366B80" w:rsidRPr="00560239" w:rsidRDefault="00366B80" w:rsidP="00366B80">
      <w:pPr>
        <w:numPr>
          <w:ilvl w:val="3"/>
          <w:numId w:val="22"/>
        </w:numPr>
        <w:jc w:val="both"/>
        <w:rPr>
          <w:rFonts w:ascii="Arial" w:hAnsi="Arial"/>
          <w:sz w:val="22"/>
          <w:szCs w:val="22"/>
        </w:rPr>
      </w:pPr>
      <w:r w:rsidRPr="00560239">
        <w:rPr>
          <w:rFonts w:ascii="Arial" w:hAnsi="Arial"/>
          <w:sz w:val="22"/>
          <w:szCs w:val="22"/>
        </w:rPr>
        <w:t>Kabelski razvodni ormari:</w:t>
      </w:r>
    </w:p>
    <w:p w:rsidR="00366B80" w:rsidRDefault="00366B80" w:rsidP="00366B80">
      <w:pPr>
        <w:ind w:left="-142"/>
        <w:jc w:val="both"/>
        <w:rPr>
          <w:rFonts w:ascii="Arial" w:hAnsi="Arial"/>
          <w:sz w:val="22"/>
          <w:szCs w:val="22"/>
        </w:rPr>
      </w:pPr>
    </w:p>
    <w:p w:rsidR="00366B80" w:rsidRPr="00560239" w:rsidRDefault="00366B80" w:rsidP="00366B80">
      <w:pPr>
        <w:ind w:left="-142"/>
        <w:jc w:val="both"/>
        <w:rPr>
          <w:rFonts w:ascii="Arial" w:hAnsi="Arial"/>
          <w:sz w:val="22"/>
          <w:szCs w:val="22"/>
        </w:rPr>
      </w:pPr>
      <w:r w:rsidRPr="00560239">
        <w:rPr>
          <w:rFonts w:ascii="Arial" w:hAnsi="Arial"/>
          <w:sz w:val="22"/>
          <w:szCs w:val="22"/>
        </w:rPr>
        <w:t>Vizualnim pregledom utvrditi da li postoji kakvo oštećenje (</w:t>
      </w:r>
      <w:proofErr w:type="spellStart"/>
      <w:r w:rsidRPr="00560239">
        <w:rPr>
          <w:rFonts w:ascii="Arial" w:hAnsi="Arial"/>
          <w:sz w:val="22"/>
          <w:szCs w:val="22"/>
        </w:rPr>
        <w:t>nagaranje</w:t>
      </w:r>
      <w:proofErr w:type="spellEnd"/>
      <w:r w:rsidRPr="00560239">
        <w:rPr>
          <w:rFonts w:ascii="Arial" w:hAnsi="Arial"/>
          <w:sz w:val="22"/>
          <w:szCs w:val="22"/>
        </w:rPr>
        <w:t xml:space="preserve"> rasklopnih elemenata </w:t>
      </w:r>
      <w:proofErr w:type="spellStart"/>
      <w:r w:rsidRPr="00560239">
        <w:rPr>
          <w:rFonts w:ascii="Arial" w:hAnsi="Arial"/>
          <w:sz w:val="22"/>
          <w:szCs w:val="22"/>
        </w:rPr>
        <w:t>rastalnih</w:t>
      </w:r>
      <w:proofErr w:type="spellEnd"/>
      <w:r>
        <w:rPr>
          <w:rFonts w:ascii="Arial" w:hAnsi="Arial"/>
          <w:sz w:val="22"/>
          <w:szCs w:val="22"/>
        </w:rPr>
        <w:t xml:space="preserve"> </w:t>
      </w:r>
      <w:r w:rsidRPr="00560239">
        <w:rPr>
          <w:rFonts w:ascii="Arial" w:hAnsi="Arial"/>
          <w:sz w:val="22"/>
          <w:szCs w:val="22"/>
        </w:rPr>
        <w:t>ili automatskih osigurača, katodnih odvodnika te sklopnih elemenata)</w:t>
      </w:r>
      <w:r>
        <w:rPr>
          <w:rFonts w:ascii="Arial" w:hAnsi="Arial"/>
          <w:sz w:val="22"/>
          <w:szCs w:val="22"/>
        </w:rPr>
        <w:t xml:space="preserve">. </w:t>
      </w:r>
      <w:r w:rsidRPr="00560239">
        <w:rPr>
          <w:rFonts w:ascii="Arial" w:hAnsi="Arial"/>
          <w:sz w:val="22"/>
          <w:szCs w:val="22"/>
        </w:rPr>
        <w:t>Pri pregledu potrebno je izvršiti i funkcionalnu probu rada rasklopnih elemenata u ormaru.</w:t>
      </w:r>
    </w:p>
    <w:p w:rsidR="00366B80" w:rsidRPr="00560239" w:rsidRDefault="00366B80" w:rsidP="00366B80">
      <w:pPr>
        <w:ind w:left="-142"/>
        <w:jc w:val="both"/>
        <w:rPr>
          <w:rFonts w:ascii="Arial" w:hAnsi="Arial"/>
          <w:sz w:val="22"/>
          <w:szCs w:val="22"/>
        </w:rPr>
      </w:pPr>
      <w:r w:rsidRPr="00560239">
        <w:rPr>
          <w:rFonts w:ascii="Arial" w:hAnsi="Arial"/>
          <w:sz w:val="22"/>
          <w:szCs w:val="22"/>
        </w:rPr>
        <w:t>Radi osiguranja ispravnosti rada razvodnog ormara po potrebi moment ključem izvršiti pritezanje</w:t>
      </w:r>
      <w:r>
        <w:rPr>
          <w:rFonts w:ascii="Arial" w:hAnsi="Arial"/>
          <w:sz w:val="22"/>
          <w:szCs w:val="22"/>
        </w:rPr>
        <w:t xml:space="preserve"> </w:t>
      </w:r>
      <w:r w:rsidRPr="00560239">
        <w:rPr>
          <w:rFonts w:ascii="Arial" w:hAnsi="Arial"/>
          <w:sz w:val="22"/>
          <w:szCs w:val="22"/>
        </w:rPr>
        <w:t>vijaka u razmaku od 6 mjeseci, odnosno prilikom eventualne izmjene rasklopnog elementa.</w:t>
      </w:r>
    </w:p>
    <w:p w:rsidR="00366B80" w:rsidRDefault="00366B80" w:rsidP="00366B80">
      <w:pPr>
        <w:ind w:left="-142"/>
        <w:jc w:val="both"/>
        <w:rPr>
          <w:rFonts w:ascii="Arial" w:hAnsi="Arial"/>
          <w:sz w:val="22"/>
          <w:szCs w:val="22"/>
        </w:rPr>
      </w:pPr>
      <w:r w:rsidRPr="00560239">
        <w:rPr>
          <w:rFonts w:ascii="Arial" w:hAnsi="Arial"/>
          <w:sz w:val="22"/>
          <w:szCs w:val="22"/>
        </w:rPr>
        <w:t>Pristup ormaru mora biti omogućen u svako doba kako bi se isti u slučaju potrebe mogao žurno</w:t>
      </w:r>
      <w:r>
        <w:rPr>
          <w:rFonts w:ascii="Arial" w:hAnsi="Arial"/>
          <w:sz w:val="22"/>
          <w:szCs w:val="22"/>
        </w:rPr>
        <w:t xml:space="preserve"> </w:t>
      </w:r>
      <w:r w:rsidRPr="00560239">
        <w:rPr>
          <w:rFonts w:ascii="Arial" w:hAnsi="Arial"/>
          <w:sz w:val="22"/>
          <w:szCs w:val="22"/>
        </w:rPr>
        <w:t>isklopiti s napona</w:t>
      </w:r>
    </w:p>
    <w:p w:rsidR="00366B80" w:rsidRPr="00560239" w:rsidRDefault="00366B80" w:rsidP="00366B80">
      <w:pPr>
        <w:ind w:left="-142"/>
        <w:jc w:val="both"/>
        <w:rPr>
          <w:rFonts w:ascii="Arial" w:hAnsi="Arial"/>
          <w:sz w:val="22"/>
          <w:szCs w:val="22"/>
        </w:rPr>
      </w:pPr>
      <w:r>
        <w:rPr>
          <w:rFonts w:ascii="Arial" w:hAnsi="Arial"/>
          <w:sz w:val="22"/>
          <w:szCs w:val="22"/>
        </w:rPr>
        <w:t xml:space="preserve">Pregledom je potrebno </w:t>
      </w:r>
      <w:r w:rsidRPr="00560239">
        <w:rPr>
          <w:rFonts w:ascii="Arial" w:hAnsi="Arial"/>
          <w:sz w:val="22"/>
          <w:szCs w:val="22"/>
        </w:rPr>
        <w:t>utvrditi:</w:t>
      </w:r>
    </w:p>
    <w:p w:rsidR="00366B80" w:rsidRPr="00560239" w:rsidRDefault="00366B80" w:rsidP="00366B80">
      <w:pPr>
        <w:numPr>
          <w:ilvl w:val="0"/>
          <w:numId w:val="20"/>
        </w:numPr>
        <w:jc w:val="both"/>
        <w:rPr>
          <w:rFonts w:ascii="Arial" w:hAnsi="Arial"/>
          <w:sz w:val="22"/>
          <w:szCs w:val="22"/>
        </w:rPr>
      </w:pPr>
      <w:r w:rsidRPr="00560239">
        <w:rPr>
          <w:rFonts w:ascii="Arial" w:hAnsi="Arial"/>
          <w:sz w:val="22"/>
          <w:szCs w:val="22"/>
        </w:rPr>
        <w:t xml:space="preserve"> Stanje kućišta ormarića – provjeriti svake 4 godine</w:t>
      </w:r>
    </w:p>
    <w:p w:rsidR="00366B80" w:rsidRPr="00560239" w:rsidRDefault="00366B80" w:rsidP="00366B80">
      <w:pPr>
        <w:numPr>
          <w:ilvl w:val="0"/>
          <w:numId w:val="20"/>
        </w:numPr>
        <w:jc w:val="both"/>
        <w:rPr>
          <w:rFonts w:ascii="Arial" w:hAnsi="Arial"/>
          <w:sz w:val="22"/>
          <w:szCs w:val="22"/>
        </w:rPr>
      </w:pPr>
      <w:r w:rsidRPr="00560239">
        <w:rPr>
          <w:rFonts w:ascii="Arial" w:hAnsi="Arial"/>
          <w:sz w:val="22"/>
          <w:szCs w:val="22"/>
        </w:rPr>
        <w:t xml:space="preserve"> Stanje vrata, brava i </w:t>
      </w:r>
      <w:proofErr w:type="spellStart"/>
      <w:r w:rsidRPr="00560239">
        <w:rPr>
          <w:rFonts w:ascii="Arial" w:hAnsi="Arial"/>
          <w:sz w:val="22"/>
          <w:szCs w:val="22"/>
        </w:rPr>
        <w:t>šarki</w:t>
      </w:r>
      <w:proofErr w:type="spellEnd"/>
      <w:r w:rsidRPr="00560239">
        <w:rPr>
          <w:rFonts w:ascii="Arial" w:hAnsi="Arial"/>
          <w:sz w:val="22"/>
          <w:szCs w:val="22"/>
        </w:rPr>
        <w:t xml:space="preserve"> – provjeriti svake 4 godine</w:t>
      </w:r>
    </w:p>
    <w:p w:rsidR="00366B80" w:rsidRDefault="00366B80" w:rsidP="00366B80">
      <w:pPr>
        <w:numPr>
          <w:ilvl w:val="0"/>
          <w:numId w:val="20"/>
        </w:numPr>
        <w:jc w:val="both"/>
        <w:rPr>
          <w:rFonts w:ascii="Arial" w:hAnsi="Arial"/>
          <w:sz w:val="22"/>
          <w:szCs w:val="22"/>
        </w:rPr>
      </w:pPr>
      <w:r w:rsidRPr="00560239">
        <w:rPr>
          <w:rFonts w:ascii="Arial" w:hAnsi="Arial"/>
          <w:sz w:val="22"/>
          <w:szCs w:val="22"/>
        </w:rPr>
        <w:t xml:space="preserve"> Stanje učvršćenj</w:t>
      </w:r>
      <w:r>
        <w:rPr>
          <w:rFonts w:ascii="Arial" w:hAnsi="Arial"/>
          <w:sz w:val="22"/>
          <w:szCs w:val="22"/>
        </w:rPr>
        <w:t>a</w:t>
      </w:r>
      <w:r w:rsidRPr="00560239">
        <w:rPr>
          <w:rFonts w:ascii="Arial" w:hAnsi="Arial"/>
          <w:sz w:val="22"/>
          <w:szCs w:val="22"/>
        </w:rPr>
        <w:t xml:space="preserve"> ormarića – provjeriti svake 4 godine</w:t>
      </w:r>
    </w:p>
    <w:p w:rsidR="00366B80" w:rsidRPr="00560239" w:rsidRDefault="00366B80" w:rsidP="00366B80">
      <w:pPr>
        <w:numPr>
          <w:ilvl w:val="0"/>
          <w:numId w:val="20"/>
        </w:numPr>
        <w:jc w:val="both"/>
        <w:rPr>
          <w:rFonts w:ascii="Arial" w:hAnsi="Arial"/>
          <w:sz w:val="22"/>
          <w:szCs w:val="22"/>
        </w:rPr>
      </w:pPr>
      <w:r>
        <w:rPr>
          <w:rFonts w:ascii="Arial" w:hAnsi="Arial"/>
          <w:sz w:val="22"/>
          <w:szCs w:val="22"/>
        </w:rPr>
        <w:t xml:space="preserve"> </w:t>
      </w:r>
      <w:proofErr w:type="spellStart"/>
      <w:r w:rsidRPr="00560239">
        <w:rPr>
          <w:rFonts w:ascii="Arial" w:hAnsi="Arial"/>
          <w:sz w:val="22"/>
          <w:szCs w:val="22"/>
        </w:rPr>
        <w:t>Termovizijski</w:t>
      </w:r>
      <w:proofErr w:type="spellEnd"/>
      <w:r w:rsidRPr="00560239">
        <w:rPr>
          <w:rFonts w:ascii="Arial" w:hAnsi="Arial"/>
          <w:sz w:val="22"/>
          <w:szCs w:val="22"/>
        </w:rPr>
        <w:t xml:space="preserve"> pregled električnih spojeva prema potrebi</w:t>
      </w:r>
    </w:p>
    <w:p w:rsidR="00366B80" w:rsidRDefault="00366B80" w:rsidP="00366B80">
      <w:pPr>
        <w:ind w:left="-142"/>
        <w:jc w:val="both"/>
        <w:rPr>
          <w:rFonts w:ascii="Arial" w:hAnsi="Arial"/>
          <w:sz w:val="22"/>
          <w:szCs w:val="22"/>
        </w:rPr>
      </w:pPr>
      <w:r>
        <w:rPr>
          <w:rFonts w:ascii="Arial" w:hAnsi="Arial"/>
          <w:sz w:val="22"/>
          <w:szCs w:val="22"/>
        </w:rPr>
        <w:t>-</w:t>
      </w:r>
      <w:r w:rsidRPr="001420C4">
        <w:rPr>
          <w:rFonts w:ascii="Arial" w:hAnsi="Arial"/>
          <w:sz w:val="22"/>
          <w:szCs w:val="22"/>
        </w:rPr>
        <w:t xml:space="preserve">  Antikorozivnu zaštitu – provjeriti svake 4 godine</w:t>
      </w:r>
    </w:p>
    <w:p w:rsidR="00366B80" w:rsidRPr="001420C4" w:rsidRDefault="00366B80" w:rsidP="00366B80">
      <w:pPr>
        <w:ind w:left="-142"/>
        <w:jc w:val="both"/>
        <w:rPr>
          <w:rFonts w:ascii="Arial" w:hAnsi="Arial"/>
          <w:sz w:val="22"/>
          <w:szCs w:val="22"/>
        </w:rPr>
      </w:pPr>
    </w:p>
    <w:p w:rsidR="00366B80" w:rsidRPr="00560239" w:rsidRDefault="00366B80" w:rsidP="00366B80">
      <w:pPr>
        <w:numPr>
          <w:ilvl w:val="3"/>
          <w:numId w:val="22"/>
        </w:numPr>
        <w:jc w:val="both"/>
        <w:rPr>
          <w:rFonts w:ascii="Arial" w:hAnsi="Arial"/>
          <w:sz w:val="22"/>
          <w:szCs w:val="22"/>
        </w:rPr>
      </w:pPr>
      <w:r w:rsidRPr="00560239">
        <w:rPr>
          <w:rFonts w:ascii="Arial" w:hAnsi="Arial"/>
          <w:sz w:val="22"/>
          <w:szCs w:val="22"/>
        </w:rPr>
        <w:t>Rasvjetna tijela:</w:t>
      </w:r>
    </w:p>
    <w:p w:rsidR="00366B80" w:rsidRDefault="00366B80" w:rsidP="00366B80">
      <w:pPr>
        <w:ind w:left="-142"/>
        <w:jc w:val="both"/>
        <w:rPr>
          <w:rFonts w:ascii="Arial" w:hAnsi="Arial"/>
          <w:sz w:val="22"/>
          <w:szCs w:val="22"/>
        </w:rPr>
      </w:pPr>
    </w:p>
    <w:p w:rsidR="00366B80" w:rsidRPr="00560239" w:rsidRDefault="00366B80" w:rsidP="00366B80">
      <w:pPr>
        <w:ind w:left="-142"/>
        <w:jc w:val="both"/>
        <w:rPr>
          <w:rFonts w:ascii="Arial" w:hAnsi="Arial"/>
          <w:sz w:val="22"/>
          <w:szCs w:val="22"/>
        </w:rPr>
      </w:pPr>
      <w:r w:rsidRPr="00560239">
        <w:rPr>
          <w:rFonts w:ascii="Arial" w:hAnsi="Arial"/>
          <w:sz w:val="22"/>
          <w:szCs w:val="22"/>
        </w:rPr>
        <w:lastRenderedPageBreak/>
        <w:t>Rasvjetna tijela potrebno je redovno kontrolirati na načina da se vizualnim pregledom utvrdi postoji li</w:t>
      </w:r>
      <w:r>
        <w:rPr>
          <w:rFonts w:ascii="Arial" w:hAnsi="Arial"/>
          <w:sz w:val="22"/>
          <w:szCs w:val="22"/>
        </w:rPr>
        <w:t xml:space="preserve"> </w:t>
      </w:r>
      <w:r w:rsidRPr="00560239">
        <w:rPr>
          <w:rFonts w:ascii="Arial" w:hAnsi="Arial"/>
          <w:sz w:val="22"/>
          <w:szCs w:val="22"/>
        </w:rPr>
        <w:t>eventualno oštećenje armature. Također je potrebn</w:t>
      </w:r>
      <w:r>
        <w:rPr>
          <w:rFonts w:ascii="Arial" w:hAnsi="Arial"/>
          <w:sz w:val="22"/>
          <w:szCs w:val="22"/>
        </w:rPr>
        <w:t>a</w:t>
      </w:r>
      <w:r w:rsidRPr="00560239">
        <w:rPr>
          <w:rFonts w:ascii="Arial" w:hAnsi="Arial"/>
          <w:sz w:val="22"/>
          <w:szCs w:val="22"/>
        </w:rPr>
        <w:t xml:space="preserve"> redovita</w:t>
      </w:r>
      <w:r>
        <w:rPr>
          <w:rFonts w:ascii="Arial" w:hAnsi="Arial"/>
          <w:sz w:val="22"/>
          <w:szCs w:val="22"/>
        </w:rPr>
        <w:t xml:space="preserve"> </w:t>
      </w:r>
      <w:r w:rsidRPr="00560239">
        <w:rPr>
          <w:rFonts w:ascii="Arial" w:hAnsi="Arial"/>
          <w:sz w:val="22"/>
          <w:szCs w:val="22"/>
        </w:rPr>
        <w:t xml:space="preserve">provjera stanja </w:t>
      </w:r>
      <w:proofErr w:type="spellStart"/>
      <w:r w:rsidRPr="00560239">
        <w:rPr>
          <w:rFonts w:ascii="Arial" w:hAnsi="Arial"/>
          <w:sz w:val="22"/>
          <w:szCs w:val="22"/>
        </w:rPr>
        <w:t>pričvrsnih</w:t>
      </w:r>
      <w:proofErr w:type="spellEnd"/>
      <w:r w:rsidRPr="00560239">
        <w:rPr>
          <w:rFonts w:ascii="Arial" w:hAnsi="Arial"/>
          <w:sz w:val="22"/>
          <w:szCs w:val="22"/>
        </w:rPr>
        <w:t xml:space="preserve"> ili ovjesnih elemenata kako bi se spriječilo eventualno ispadanje armature.</w:t>
      </w:r>
    </w:p>
    <w:p w:rsidR="00366B80" w:rsidRPr="00560239" w:rsidRDefault="00366B80" w:rsidP="00366B80">
      <w:pPr>
        <w:ind w:left="-142"/>
        <w:jc w:val="both"/>
        <w:rPr>
          <w:rFonts w:ascii="Arial" w:hAnsi="Arial"/>
          <w:sz w:val="22"/>
          <w:szCs w:val="22"/>
        </w:rPr>
      </w:pPr>
      <w:r w:rsidRPr="00560239">
        <w:rPr>
          <w:rFonts w:ascii="Arial" w:hAnsi="Arial"/>
          <w:sz w:val="22"/>
          <w:szCs w:val="22"/>
        </w:rPr>
        <w:t>U slučaju potrebe za izmjenom rasvjetn</w:t>
      </w:r>
      <w:r>
        <w:rPr>
          <w:rFonts w:ascii="Arial" w:hAnsi="Arial"/>
          <w:sz w:val="22"/>
          <w:szCs w:val="22"/>
        </w:rPr>
        <w:t>og</w:t>
      </w:r>
      <w:r w:rsidRPr="00560239">
        <w:rPr>
          <w:rFonts w:ascii="Arial" w:hAnsi="Arial"/>
          <w:sz w:val="22"/>
          <w:szCs w:val="22"/>
        </w:rPr>
        <w:t xml:space="preserve"> </w:t>
      </w:r>
      <w:r>
        <w:rPr>
          <w:rFonts w:ascii="Arial" w:hAnsi="Arial"/>
          <w:sz w:val="22"/>
          <w:szCs w:val="22"/>
        </w:rPr>
        <w:t>tijela</w:t>
      </w:r>
      <w:r w:rsidRPr="00560239">
        <w:rPr>
          <w:rFonts w:ascii="Arial" w:hAnsi="Arial"/>
          <w:sz w:val="22"/>
          <w:szCs w:val="22"/>
        </w:rPr>
        <w:t xml:space="preserve">, nova svjetiljka </w:t>
      </w:r>
      <w:r>
        <w:rPr>
          <w:rFonts w:ascii="Arial" w:hAnsi="Arial"/>
          <w:sz w:val="22"/>
          <w:szCs w:val="22"/>
        </w:rPr>
        <w:t>ili reflektor mora</w:t>
      </w:r>
      <w:r w:rsidRPr="00560239">
        <w:rPr>
          <w:rFonts w:ascii="Arial" w:hAnsi="Arial"/>
          <w:sz w:val="22"/>
          <w:szCs w:val="22"/>
        </w:rPr>
        <w:t xml:space="preserve"> imati stupanj mehaničke</w:t>
      </w:r>
      <w:r>
        <w:rPr>
          <w:rFonts w:ascii="Arial" w:hAnsi="Arial"/>
          <w:sz w:val="22"/>
          <w:szCs w:val="22"/>
        </w:rPr>
        <w:t xml:space="preserve"> </w:t>
      </w:r>
      <w:r w:rsidRPr="00560239">
        <w:rPr>
          <w:rFonts w:ascii="Arial" w:hAnsi="Arial"/>
          <w:sz w:val="22"/>
          <w:szCs w:val="22"/>
        </w:rPr>
        <w:t xml:space="preserve">zaštite (IP) isti ili </w:t>
      </w:r>
      <w:r>
        <w:rPr>
          <w:rFonts w:ascii="Arial" w:hAnsi="Arial"/>
          <w:sz w:val="22"/>
          <w:szCs w:val="22"/>
        </w:rPr>
        <w:t>veći</w:t>
      </w:r>
      <w:r w:rsidRPr="00560239">
        <w:rPr>
          <w:rFonts w:ascii="Arial" w:hAnsi="Arial"/>
          <w:sz w:val="22"/>
          <w:szCs w:val="22"/>
        </w:rPr>
        <w:t xml:space="preserve"> od postojećeg.</w:t>
      </w:r>
    </w:p>
    <w:p w:rsidR="00366B80" w:rsidRDefault="00366B80" w:rsidP="00366B80">
      <w:pPr>
        <w:ind w:left="-142"/>
        <w:jc w:val="both"/>
        <w:rPr>
          <w:rFonts w:ascii="Arial" w:hAnsi="Arial"/>
          <w:sz w:val="22"/>
          <w:szCs w:val="22"/>
        </w:rPr>
      </w:pPr>
      <w:r w:rsidRPr="00560239">
        <w:rPr>
          <w:rFonts w:ascii="Arial" w:hAnsi="Arial"/>
          <w:sz w:val="22"/>
          <w:szCs w:val="22"/>
        </w:rPr>
        <w:t>Radi ostvarenja minimalnih uvjeta osvijetljenosti potreban je redovan pregled rasvijetljenosti</w:t>
      </w:r>
      <w:r>
        <w:rPr>
          <w:rFonts w:ascii="Arial" w:hAnsi="Arial"/>
          <w:sz w:val="22"/>
          <w:szCs w:val="22"/>
        </w:rPr>
        <w:t xml:space="preserve"> vanjskog </w:t>
      </w:r>
      <w:r w:rsidRPr="00560239">
        <w:rPr>
          <w:rFonts w:ascii="Arial" w:hAnsi="Arial"/>
          <w:sz w:val="22"/>
          <w:szCs w:val="22"/>
        </w:rPr>
        <w:t xml:space="preserve">prostora atestiranim </w:t>
      </w:r>
      <w:proofErr w:type="spellStart"/>
      <w:r w:rsidRPr="00560239">
        <w:rPr>
          <w:rFonts w:ascii="Arial" w:hAnsi="Arial"/>
          <w:sz w:val="22"/>
          <w:szCs w:val="22"/>
        </w:rPr>
        <w:t>luxm</w:t>
      </w:r>
      <w:r>
        <w:rPr>
          <w:rFonts w:ascii="Arial" w:hAnsi="Arial"/>
          <w:sz w:val="22"/>
          <w:szCs w:val="22"/>
        </w:rPr>
        <w:t>e</w:t>
      </w:r>
      <w:r w:rsidRPr="00560239">
        <w:rPr>
          <w:rFonts w:ascii="Arial" w:hAnsi="Arial"/>
          <w:sz w:val="22"/>
          <w:szCs w:val="22"/>
        </w:rPr>
        <w:t>t</w:t>
      </w:r>
      <w:r>
        <w:rPr>
          <w:rFonts w:ascii="Arial" w:hAnsi="Arial"/>
          <w:sz w:val="22"/>
          <w:szCs w:val="22"/>
        </w:rPr>
        <w:t>r</w:t>
      </w:r>
      <w:r w:rsidRPr="00560239">
        <w:rPr>
          <w:rFonts w:ascii="Arial" w:hAnsi="Arial"/>
          <w:sz w:val="22"/>
          <w:szCs w:val="22"/>
        </w:rPr>
        <w:t>om</w:t>
      </w:r>
      <w:proofErr w:type="spellEnd"/>
      <w:r>
        <w:rPr>
          <w:rFonts w:ascii="Arial" w:hAnsi="Arial"/>
          <w:sz w:val="22"/>
          <w:szCs w:val="22"/>
        </w:rPr>
        <w:t>.</w:t>
      </w:r>
    </w:p>
    <w:p w:rsidR="00366B80" w:rsidRDefault="00366B80" w:rsidP="00366B80">
      <w:pPr>
        <w:ind w:left="-142"/>
        <w:jc w:val="both"/>
        <w:rPr>
          <w:rFonts w:ascii="Arial" w:hAnsi="Arial"/>
          <w:sz w:val="22"/>
          <w:szCs w:val="22"/>
        </w:rPr>
      </w:pPr>
    </w:p>
    <w:p w:rsidR="00366B80" w:rsidRPr="00B667C9" w:rsidRDefault="00366B80" w:rsidP="00366B80">
      <w:pPr>
        <w:numPr>
          <w:ilvl w:val="3"/>
          <w:numId w:val="22"/>
        </w:numPr>
        <w:jc w:val="both"/>
        <w:rPr>
          <w:rFonts w:ascii="Arial" w:hAnsi="Arial"/>
          <w:sz w:val="22"/>
          <w:szCs w:val="22"/>
        </w:rPr>
      </w:pPr>
      <w:r w:rsidRPr="00B667C9">
        <w:rPr>
          <w:rFonts w:ascii="Arial" w:hAnsi="Arial"/>
          <w:sz w:val="22"/>
          <w:szCs w:val="22"/>
        </w:rPr>
        <w:t>Rasvjetni stupovi:</w:t>
      </w:r>
    </w:p>
    <w:p w:rsidR="00366B80" w:rsidRDefault="00366B80" w:rsidP="00366B80">
      <w:pPr>
        <w:ind w:left="-142"/>
        <w:jc w:val="both"/>
        <w:rPr>
          <w:rFonts w:ascii="Arial" w:hAnsi="Arial"/>
          <w:sz w:val="22"/>
          <w:szCs w:val="22"/>
        </w:rPr>
      </w:pPr>
    </w:p>
    <w:p w:rsidR="00366B80" w:rsidRPr="00B667C9" w:rsidRDefault="00366B80" w:rsidP="00366B80">
      <w:pPr>
        <w:ind w:left="-142"/>
        <w:jc w:val="both"/>
        <w:rPr>
          <w:rFonts w:ascii="Arial" w:hAnsi="Arial"/>
          <w:sz w:val="22"/>
          <w:szCs w:val="22"/>
        </w:rPr>
      </w:pPr>
      <w:r w:rsidRPr="00B667C9">
        <w:rPr>
          <w:rFonts w:ascii="Arial" w:hAnsi="Arial"/>
          <w:sz w:val="22"/>
          <w:szCs w:val="22"/>
        </w:rPr>
        <w:t>Pregledom je potrebno ustvrditi:</w:t>
      </w:r>
    </w:p>
    <w:p w:rsidR="00366B80" w:rsidRPr="00B667C9" w:rsidRDefault="00366B80" w:rsidP="00366B80">
      <w:pPr>
        <w:numPr>
          <w:ilvl w:val="0"/>
          <w:numId w:val="20"/>
        </w:numPr>
        <w:jc w:val="both"/>
        <w:rPr>
          <w:rFonts w:ascii="Arial" w:hAnsi="Arial"/>
          <w:sz w:val="22"/>
          <w:szCs w:val="22"/>
        </w:rPr>
      </w:pPr>
      <w:r w:rsidRPr="00B667C9">
        <w:rPr>
          <w:rFonts w:ascii="Arial" w:hAnsi="Arial"/>
          <w:sz w:val="22"/>
          <w:szCs w:val="22"/>
        </w:rPr>
        <w:t>Stanje antikorozivne zaštite – provjeriti svake godine</w:t>
      </w:r>
    </w:p>
    <w:p w:rsidR="00366B80" w:rsidRPr="00B667C9" w:rsidRDefault="00366B80" w:rsidP="00366B80">
      <w:pPr>
        <w:numPr>
          <w:ilvl w:val="0"/>
          <w:numId w:val="20"/>
        </w:numPr>
        <w:jc w:val="both"/>
        <w:rPr>
          <w:rFonts w:ascii="Arial" w:hAnsi="Arial"/>
          <w:sz w:val="22"/>
          <w:szCs w:val="22"/>
        </w:rPr>
      </w:pPr>
      <w:r w:rsidRPr="00B667C9">
        <w:rPr>
          <w:rFonts w:ascii="Arial" w:hAnsi="Arial"/>
          <w:sz w:val="22"/>
          <w:szCs w:val="22"/>
        </w:rPr>
        <w:t xml:space="preserve">Stanje učvršćenja rasvjetnog stupa </w:t>
      </w:r>
      <w:r>
        <w:rPr>
          <w:rFonts w:ascii="Arial" w:hAnsi="Arial"/>
          <w:sz w:val="22"/>
          <w:szCs w:val="22"/>
        </w:rPr>
        <w:t>za</w:t>
      </w:r>
      <w:r w:rsidRPr="00B667C9">
        <w:rPr>
          <w:rFonts w:ascii="Arial" w:hAnsi="Arial"/>
          <w:sz w:val="22"/>
          <w:szCs w:val="22"/>
        </w:rPr>
        <w:t xml:space="preserve"> betonski temelj – provjeriti svake godine</w:t>
      </w:r>
    </w:p>
    <w:p w:rsidR="00366B80" w:rsidRPr="00B667C9" w:rsidRDefault="00366B80" w:rsidP="00366B80">
      <w:pPr>
        <w:numPr>
          <w:ilvl w:val="0"/>
          <w:numId w:val="20"/>
        </w:numPr>
        <w:jc w:val="both"/>
        <w:rPr>
          <w:rFonts w:ascii="Arial" w:hAnsi="Arial"/>
          <w:sz w:val="22"/>
          <w:szCs w:val="22"/>
        </w:rPr>
      </w:pPr>
      <w:r w:rsidRPr="00B667C9">
        <w:rPr>
          <w:rFonts w:ascii="Arial" w:hAnsi="Arial"/>
          <w:sz w:val="22"/>
          <w:szCs w:val="22"/>
        </w:rPr>
        <w:t>Mehanička ispravnost stupa – provjeriti svake godine</w:t>
      </w:r>
    </w:p>
    <w:p w:rsidR="00366B80" w:rsidRDefault="00366B80" w:rsidP="00366B80">
      <w:pPr>
        <w:ind w:left="-142"/>
        <w:jc w:val="both"/>
        <w:rPr>
          <w:rFonts w:ascii="Arial" w:hAnsi="Arial"/>
          <w:sz w:val="22"/>
          <w:szCs w:val="22"/>
        </w:rPr>
      </w:pPr>
    </w:p>
    <w:p w:rsidR="00366B80" w:rsidRPr="00B667C9" w:rsidRDefault="00366B80" w:rsidP="00366B80">
      <w:pPr>
        <w:ind w:left="-142"/>
        <w:jc w:val="both"/>
        <w:rPr>
          <w:rFonts w:ascii="Arial" w:hAnsi="Arial"/>
          <w:sz w:val="22"/>
          <w:szCs w:val="22"/>
        </w:rPr>
      </w:pPr>
      <w:r w:rsidRPr="00B667C9">
        <w:rPr>
          <w:rFonts w:ascii="Arial" w:hAnsi="Arial"/>
          <w:sz w:val="22"/>
          <w:szCs w:val="22"/>
        </w:rPr>
        <w:t>Mjere održavanja su:</w:t>
      </w:r>
    </w:p>
    <w:p w:rsidR="00366B80" w:rsidRPr="00B667C9" w:rsidRDefault="00366B80" w:rsidP="00366B80">
      <w:pPr>
        <w:numPr>
          <w:ilvl w:val="0"/>
          <w:numId w:val="20"/>
        </w:numPr>
        <w:jc w:val="both"/>
        <w:rPr>
          <w:rFonts w:ascii="Arial" w:hAnsi="Arial"/>
          <w:sz w:val="22"/>
          <w:szCs w:val="22"/>
        </w:rPr>
      </w:pPr>
      <w:r w:rsidRPr="00B667C9">
        <w:rPr>
          <w:rFonts w:ascii="Arial" w:hAnsi="Arial"/>
          <w:sz w:val="22"/>
          <w:szCs w:val="22"/>
        </w:rPr>
        <w:t>Odstranjivanje korozije i ličenje – prema nalazu pregleda</w:t>
      </w:r>
    </w:p>
    <w:p w:rsidR="00366B80" w:rsidRPr="00B667C9" w:rsidRDefault="00366B80" w:rsidP="00366B80">
      <w:pPr>
        <w:numPr>
          <w:ilvl w:val="0"/>
          <w:numId w:val="20"/>
        </w:numPr>
        <w:jc w:val="both"/>
        <w:rPr>
          <w:rFonts w:ascii="Arial" w:hAnsi="Arial"/>
          <w:sz w:val="22"/>
          <w:szCs w:val="22"/>
        </w:rPr>
      </w:pPr>
      <w:r w:rsidRPr="00B667C9">
        <w:rPr>
          <w:rFonts w:ascii="Arial" w:hAnsi="Arial"/>
          <w:sz w:val="22"/>
          <w:szCs w:val="22"/>
        </w:rPr>
        <w:t xml:space="preserve">Zatezanje vijaka koji pričvršćuju stup </w:t>
      </w:r>
      <w:r>
        <w:rPr>
          <w:rFonts w:ascii="Arial" w:hAnsi="Arial"/>
          <w:sz w:val="22"/>
          <w:szCs w:val="22"/>
        </w:rPr>
        <w:t>za</w:t>
      </w:r>
      <w:r w:rsidRPr="00B667C9">
        <w:rPr>
          <w:rFonts w:ascii="Arial" w:hAnsi="Arial"/>
          <w:sz w:val="22"/>
          <w:szCs w:val="22"/>
        </w:rPr>
        <w:t xml:space="preserve"> temelj – prema nalazu pregleda</w:t>
      </w:r>
    </w:p>
    <w:p w:rsidR="00366B80" w:rsidRPr="00B667C9" w:rsidRDefault="00366B80" w:rsidP="00366B80">
      <w:pPr>
        <w:numPr>
          <w:ilvl w:val="0"/>
          <w:numId w:val="20"/>
        </w:numPr>
        <w:jc w:val="both"/>
        <w:rPr>
          <w:rFonts w:ascii="Arial" w:hAnsi="Arial"/>
          <w:sz w:val="22"/>
          <w:szCs w:val="22"/>
        </w:rPr>
      </w:pPr>
      <w:r w:rsidRPr="00B667C9">
        <w:rPr>
          <w:rFonts w:ascii="Arial" w:hAnsi="Arial"/>
          <w:sz w:val="22"/>
          <w:szCs w:val="22"/>
        </w:rPr>
        <w:t>Popravak ili zamjena stupa u slučaju mehaničkog oštećenja – prema nalazu pregleda</w:t>
      </w: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ind w:left="-142"/>
        <w:jc w:val="both"/>
        <w:rPr>
          <w:rFonts w:ascii="Arial" w:hAnsi="Arial"/>
          <w:sz w:val="22"/>
          <w:szCs w:val="22"/>
        </w:rPr>
      </w:pPr>
    </w:p>
    <w:p w:rsidR="00366B80" w:rsidRDefault="00366B80" w:rsidP="00366B80">
      <w:pPr>
        <w:tabs>
          <w:tab w:val="left" w:pos="142"/>
        </w:tabs>
        <w:ind w:left="284" w:hanging="284"/>
        <w:jc w:val="center"/>
        <w:rPr>
          <w:rFonts w:ascii="Arial" w:hAnsi="Arial"/>
          <w:sz w:val="22"/>
          <w:szCs w:val="22"/>
        </w:rPr>
      </w:pPr>
      <w:bookmarkStart w:id="2" w:name="_GoBack"/>
      <w:bookmarkEnd w:id="2"/>
    </w:p>
    <w:p w:rsidR="00366B80" w:rsidRPr="00CB7865" w:rsidRDefault="00366B80" w:rsidP="00366B80">
      <w:pPr>
        <w:tabs>
          <w:tab w:val="left" w:pos="142"/>
        </w:tabs>
        <w:ind w:left="284" w:hanging="284"/>
        <w:jc w:val="center"/>
        <w:rPr>
          <w:rFonts w:ascii="Arial" w:hAnsi="Arial"/>
          <w:sz w:val="22"/>
          <w:szCs w:val="22"/>
        </w:rPr>
      </w:pPr>
    </w:p>
    <w:p w:rsidR="00366B80" w:rsidRPr="00CB7865" w:rsidRDefault="00366B80" w:rsidP="00366B80">
      <w:pPr>
        <w:tabs>
          <w:tab w:val="left" w:pos="142"/>
        </w:tabs>
        <w:ind w:left="284" w:hanging="284"/>
        <w:jc w:val="center"/>
        <w:rPr>
          <w:rFonts w:ascii="Arial" w:hAnsi="Arial"/>
          <w:sz w:val="22"/>
          <w:szCs w:val="22"/>
        </w:rPr>
      </w:pPr>
    </w:p>
    <w:p w:rsidR="00366B80" w:rsidRPr="00CB7865" w:rsidRDefault="00366B80" w:rsidP="00366B80">
      <w:pPr>
        <w:tabs>
          <w:tab w:val="left" w:pos="142"/>
        </w:tabs>
        <w:ind w:left="284" w:hanging="284"/>
        <w:jc w:val="center"/>
        <w:rPr>
          <w:rFonts w:ascii="Arial" w:hAnsi="Arial"/>
          <w:sz w:val="22"/>
          <w:szCs w:val="22"/>
        </w:rPr>
      </w:pPr>
    </w:p>
    <w:p w:rsidR="00366B80" w:rsidRPr="00CB7865" w:rsidRDefault="00366B80" w:rsidP="00366B80">
      <w:pPr>
        <w:tabs>
          <w:tab w:val="left" w:pos="142"/>
        </w:tabs>
        <w:ind w:left="284" w:hanging="284"/>
        <w:jc w:val="center"/>
        <w:rPr>
          <w:rFonts w:ascii="Arial" w:hAnsi="Arial"/>
          <w:sz w:val="22"/>
          <w:szCs w:val="22"/>
        </w:rPr>
      </w:pPr>
    </w:p>
    <w:p w:rsidR="00366B80" w:rsidRPr="00CB7865" w:rsidRDefault="00366B80" w:rsidP="00366B80">
      <w:pPr>
        <w:tabs>
          <w:tab w:val="left" w:pos="142"/>
        </w:tabs>
        <w:ind w:left="284" w:hanging="284"/>
        <w:jc w:val="center"/>
        <w:rPr>
          <w:rFonts w:ascii="Arial" w:hAnsi="Arial"/>
          <w:sz w:val="22"/>
          <w:szCs w:val="22"/>
        </w:rPr>
      </w:pPr>
    </w:p>
    <w:p w:rsidR="00366B80" w:rsidRPr="00CB7865" w:rsidRDefault="00366B80" w:rsidP="00366B80">
      <w:pPr>
        <w:tabs>
          <w:tab w:val="left" w:pos="142"/>
        </w:tabs>
        <w:ind w:left="284" w:hanging="284"/>
        <w:jc w:val="center"/>
        <w:rPr>
          <w:rFonts w:ascii="Arial" w:hAnsi="Arial"/>
          <w:sz w:val="22"/>
          <w:szCs w:val="22"/>
        </w:rPr>
      </w:pPr>
    </w:p>
    <w:p w:rsidR="00366B80" w:rsidRDefault="00366B80" w:rsidP="00366B80">
      <w:pPr>
        <w:tabs>
          <w:tab w:val="left" w:pos="142"/>
        </w:tabs>
        <w:ind w:left="284" w:hanging="284"/>
        <w:jc w:val="center"/>
        <w:rPr>
          <w:rFonts w:ascii="Arial" w:hAnsi="Arial"/>
          <w:sz w:val="22"/>
          <w:szCs w:val="22"/>
        </w:rPr>
      </w:pPr>
    </w:p>
    <w:p w:rsidR="004947F1" w:rsidRDefault="004947F1"/>
    <w:sectPr w:rsidR="00494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ABD"/>
    <w:multiLevelType w:val="hybridMultilevel"/>
    <w:tmpl w:val="4F0043E4"/>
    <w:lvl w:ilvl="0" w:tplc="1BBE9A98">
      <w:start w:val="506"/>
      <w:numFmt w:val="decimal"/>
      <w:lvlText w:val="%1"/>
      <w:lvlJc w:val="left"/>
      <w:pPr>
        <w:ind w:left="1680" w:hanging="360"/>
      </w:pPr>
      <w:rPr>
        <w:rFonts w:hint="default"/>
      </w:r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abstractNum w:abstractNumId="1">
    <w:nsid w:val="09426214"/>
    <w:multiLevelType w:val="hybridMultilevel"/>
    <w:tmpl w:val="1B563BC2"/>
    <w:lvl w:ilvl="0" w:tplc="5ECAC38A">
      <w:start w:val="506"/>
      <w:numFmt w:val="bullet"/>
      <w:lvlText w:val="-"/>
      <w:lvlJc w:val="left"/>
      <w:pPr>
        <w:ind w:left="660" w:hanging="360"/>
      </w:pPr>
      <w:rPr>
        <w:rFonts w:ascii="Arial" w:eastAsia="Times New Roman" w:hAnsi="Arial" w:cs="Arial"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2">
    <w:nsid w:val="0CCF2013"/>
    <w:multiLevelType w:val="multilevel"/>
    <w:tmpl w:val="87122CB8"/>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146758AF"/>
    <w:multiLevelType w:val="hybridMultilevel"/>
    <w:tmpl w:val="AC80362A"/>
    <w:lvl w:ilvl="0" w:tplc="C156B2AA">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4">
    <w:nsid w:val="1540702C"/>
    <w:multiLevelType w:val="hybridMultilevel"/>
    <w:tmpl w:val="BE8ECBC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631A3"/>
    <w:multiLevelType w:val="hybridMultilevel"/>
    <w:tmpl w:val="4F0043E4"/>
    <w:lvl w:ilvl="0" w:tplc="1BBE9A98">
      <w:start w:val="506"/>
      <w:numFmt w:val="decimal"/>
      <w:lvlText w:val="%1"/>
      <w:lvlJc w:val="left"/>
      <w:pPr>
        <w:ind w:left="1680" w:hanging="360"/>
      </w:pPr>
      <w:rPr>
        <w:rFonts w:hint="default"/>
      </w:r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abstractNum w:abstractNumId="6">
    <w:nsid w:val="22BD57A4"/>
    <w:multiLevelType w:val="hybridMultilevel"/>
    <w:tmpl w:val="BE8ECBC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475CB"/>
    <w:multiLevelType w:val="hybridMultilevel"/>
    <w:tmpl w:val="BE8ECBC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92215"/>
    <w:multiLevelType w:val="multilevel"/>
    <w:tmpl w:val="8E40B042"/>
    <w:lvl w:ilvl="0">
      <w:start w:val="2"/>
      <w:numFmt w:val="decimal"/>
      <w:lvlText w:val="%1."/>
      <w:lvlJc w:val="left"/>
      <w:pPr>
        <w:ind w:left="720" w:hanging="720"/>
      </w:pPr>
      <w:rPr>
        <w:rFonts w:hint="default"/>
      </w:rPr>
    </w:lvl>
    <w:lvl w:ilvl="1">
      <w:start w:val="5"/>
      <w:numFmt w:val="decimal"/>
      <w:lvlText w:val="%1.%2."/>
      <w:lvlJc w:val="left"/>
      <w:pPr>
        <w:ind w:left="673" w:hanging="720"/>
      </w:pPr>
      <w:rPr>
        <w:rFonts w:hint="default"/>
      </w:rPr>
    </w:lvl>
    <w:lvl w:ilvl="2">
      <w:start w:val="2"/>
      <w:numFmt w:val="decimal"/>
      <w:lvlText w:val="%1.%2.%3."/>
      <w:lvlJc w:val="left"/>
      <w:pPr>
        <w:ind w:left="626" w:hanging="720"/>
      </w:pPr>
      <w:rPr>
        <w:rFonts w:hint="default"/>
      </w:rPr>
    </w:lvl>
    <w:lvl w:ilvl="3">
      <w:start w:val="1"/>
      <w:numFmt w:val="decimal"/>
      <w:lvlText w:val="%1.%2.%3.%4."/>
      <w:lvlJc w:val="left"/>
      <w:pPr>
        <w:ind w:left="939" w:hanging="108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1205" w:hanging="144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471" w:hanging="1800"/>
      </w:pPr>
      <w:rPr>
        <w:rFonts w:hint="default"/>
      </w:rPr>
    </w:lvl>
    <w:lvl w:ilvl="8">
      <w:start w:val="1"/>
      <w:numFmt w:val="decimal"/>
      <w:lvlText w:val="%1.%2.%3.%4.%5.%6.%7.%8.%9."/>
      <w:lvlJc w:val="left"/>
      <w:pPr>
        <w:ind w:left="1424" w:hanging="1800"/>
      </w:pPr>
      <w:rPr>
        <w:rFonts w:hint="default"/>
      </w:rPr>
    </w:lvl>
  </w:abstractNum>
  <w:abstractNum w:abstractNumId="9">
    <w:nsid w:val="39A812AD"/>
    <w:multiLevelType w:val="hybridMultilevel"/>
    <w:tmpl w:val="39B8926C"/>
    <w:lvl w:ilvl="0" w:tplc="5A363FE2">
      <w:start w:val="50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0037886"/>
    <w:multiLevelType w:val="multilevel"/>
    <w:tmpl w:val="BAA626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0E7B67"/>
    <w:multiLevelType w:val="hybridMultilevel"/>
    <w:tmpl w:val="BE8ECBC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1282B"/>
    <w:multiLevelType w:val="hybridMultilevel"/>
    <w:tmpl w:val="7BDAD414"/>
    <w:lvl w:ilvl="0" w:tplc="A77E1672">
      <w:start w:val="2"/>
      <w:numFmt w:val="bullet"/>
      <w:lvlText w:val="-"/>
      <w:lvlJc w:val="left"/>
      <w:pPr>
        <w:ind w:left="218" w:hanging="360"/>
      </w:pPr>
      <w:rPr>
        <w:rFonts w:ascii="Arial" w:eastAsia="Times New Roman" w:hAnsi="Arial" w:cs="Arial"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13">
    <w:nsid w:val="51E91B48"/>
    <w:multiLevelType w:val="hybridMultilevel"/>
    <w:tmpl w:val="BE8ECBC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C5C9F"/>
    <w:multiLevelType w:val="hybridMultilevel"/>
    <w:tmpl w:val="FB06D8DE"/>
    <w:lvl w:ilvl="0" w:tplc="163684BE">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5">
    <w:nsid w:val="5F8A0364"/>
    <w:multiLevelType w:val="hybridMultilevel"/>
    <w:tmpl w:val="28F48F38"/>
    <w:lvl w:ilvl="0" w:tplc="7958807A">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24B34C5"/>
    <w:multiLevelType w:val="hybridMultilevel"/>
    <w:tmpl w:val="C64613FA"/>
    <w:lvl w:ilvl="0" w:tplc="B0261140">
      <w:start w:val="3"/>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7">
    <w:nsid w:val="6D7C6A00"/>
    <w:multiLevelType w:val="hybridMultilevel"/>
    <w:tmpl w:val="F70A04C4"/>
    <w:lvl w:ilvl="0" w:tplc="FE56E6D4">
      <w:start w:val="506"/>
      <w:numFmt w:val="bullet"/>
      <w:lvlText w:val="-"/>
      <w:lvlJc w:val="left"/>
      <w:pPr>
        <w:ind w:left="660" w:hanging="360"/>
      </w:pPr>
      <w:rPr>
        <w:rFonts w:ascii="Arial" w:eastAsia="Times New Roman" w:hAnsi="Arial" w:cs="Arial"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18">
    <w:nsid w:val="6E6556E4"/>
    <w:multiLevelType w:val="hybridMultilevel"/>
    <w:tmpl w:val="B32E5EC6"/>
    <w:lvl w:ilvl="0" w:tplc="95DEDACE">
      <w:start w:val="1"/>
      <w:numFmt w:val="lowerLetter"/>
      <w:lvlText w:val="%1)"/>
      <w:lvlJc w:val="left"/>
      <w:pPr>
        <w:ind w:left="360"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9">
    <w:nsid w:val="703F7B3D"/>
    <w:multiLevelType w:val="hybridMultilevel"/>
    <w:tmpl w:val="03BEDBFE"/>
    <w:lvl w:ilvl="0" w:tplc="FA08BD7E">
      <w:start w:val="1"/>
      <w:numFmt w:val="lowerLetter"/>
      <w:lvlText w:val="%1)"/>
      <w:lvlJc w:val="left"/>
      <w:pPr>
        <w:ind w:left="480" w:hanging="48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764A4B53"/>
    <w:multiLevelType w:val="hybridMultilevel"/>
    <w:tmpl w:val="509CF992"/>
    <w:lvl w:ilvl="0" w:tplc="F9665E62">
      <w:start w:val="1"/>
      <w:numFmt w:val="decimal"/>
      <w:lvlText w:val="%1."/>
      <w:lvlJc w:val="left"/>
      <w:pPr>
        <w:ind w:left="360"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1">
    <w:nsid w:val="7A3C17FB"/>
    <w:multiLevelType w:val="hybridMultilevel"/>
    <w:tmpl w:val="30FC8102"/>
    <w:lvl w:ilvl="0" w:tplc="8C9CAFD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E6C420C"/>
    <w:multiLevelType w:val="hybridMultilevel"/>
    <w:tmpl w:val="F5EAC68C"/>
    <w:lvl w:ilvl="0" w:tplc="E2AEC1DE">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num w:numId="1">
    <w:abstractNumId w:val="2"/>
  </w:num>
  <w:num w:numId="2">
    <w:abstractNumId w:val="15"/>
  </w:num>
  <w:num w:numId="3">
    <w:abstractNumId w:val="16"/>
  </w:num>
  <w:num w:numId="4">
    <w:abstractNumId w:val="19"/>
  </w:num>
  <w:num w:numId="5">
    <w:abstractNumId w:val="7"/>
  </w:num>
  <w:num w:numId="6">
    <w:abstractNumId w:val="4"/>
  </w:num>
  <w:num w:numId="7">
    <w:abstractNumId w:val="6"/>
  </w:num>
  <w:num w:numId="8">
    <w:abstractNumId w:val="11"/>
  </w:num>
  <w:num w:numId="9">
    <w:abstractNumId w:val="13"/>
  </w:num>
  <w:num w:numId="10">
    <w:abstractNumId w:val="20"/>
  </w:num>
  <w:num w:numId="11">
    <w:abstractNumId w:val="18"/>
  </w:num>
  <w:num w:numId="12">
    <w:abstractNumId w:val="22"/>
  </w:num>
  <w:num w:numId="13">
    <w:abstractNumId w:val="3"/>
  </w:num>
  <w:num w:numId="14">
    <w:abstractNumId w:val="9"/>
  </w:num>
  <w:num w:numId="15">
    <w:abstractNumId w:val="17"/>
  </w:num>
  <w:num w:numId="16">
    <w:abstractNumId w:val="0"/>
  </w:num>
  <w:num w:numId="17">
    <w:abstractNumId w:val="1"/>
  </w:num>
  <w:num w:numId="18">
    <w:abstractNumId w:val="5"/>
  </w:num>
  <w:num w:numId="19">
    <w:abstractNumId w:val="21"/>
  </w:num>
  <w:num w:numId="20">
    <w:abstractNumId w:val="12"/>
  </w:num>
  <w:num w:numId="21">
    <w:abstractNumId w:val="14"/>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80"/>
    <w:rsid w:val="002E4986"/>
    <w:rsid w:val="00366B80"/>
    <w:rsid w:val="00494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366B80"/>
    <w:pPr>
      <w:tabs>
        <w:tab w:val="center" w:pos="4153"/>
        <w:tab w:val="right" w:pos="8306"/>
      </w:tabs>
    </w:pPr>
  </w:style>
  <w:style w:type="character" w:customStyle="1" w:styleId="FooterChar">
    <w:name w:val="Footer Char"/>
    <w:basedOn w:val="DefaultParagraphFont"/>
    <w:link w:val="Footer"/>
    <w:rsid w:val="00366B80"/>
    <w:rPr>
      <w:rFonts w:ascii="Times New Roman" w:eastAsia="Times New Roman" w:hAnsi="Times New Roman" w:cs="Times New Roman"/>
      <w:sz w:val="20"/>
      <w:szCs w:val="20"/>
    </w:rPr>
  </w:style>
  <w:style w:type="character" w:styleId="PageNumber">
    <w:name w:val="page number"/>
    <w:basedOn w:val="DefaultParagraphFont"/>
    <w:rsid w:val="00366B80"/>
  </w:style>
  <w:style w:type="paragraph" w:styleId="Header">
    <w:name w:val="header"/>
    <w:basedOn w:val="Normal"/>
    <w:link w:val="HeaderChar"/>
    <w:rsid w:val="00366B80"/>
    <w:pPr>
      <w:tabs>
        <w:tab w:val="center" w:pos="4153"/>
        <w:tab w:val="right" w:pos="8306"/>
      </w:tabs>
    </w:pPr>
  </w:style>
  <w:style w:type="character" w:customStyle="1" w:styleId="HeaderChar">
    <w:name w:val="Header Char"/>
    <w:basedOn w:val="DefaultParagraphFont"/>
    <w:link w:val="Header"/>
    <w:rsid w:val="00366B80"/>
    <w:rPr>
      <w:rFonts w:ascii="Times New Roman" w:eastAsia="Times New Roman" w:hAnsi="Times New Roman" w:cs="Times New Roman"/>
      <w:sz w:val="20"/>
      <w:szCs w:val="20"/>
    </w:rPr>
  </w:style>
  <w:style w:type="paragraph" w:styleId="BlockText">
    <w:name w:val="Block Text"/>
    <w:basedOn w:val="Normal"/>
    <w:semiHidden/>
    <w:rsid w:val="00366B80"/>
    <w:pPr>
      <w:tabs>
        <w:tab w:val="left" w:pos="567"/>
      </w:tabs>
      <w:ind w:left="-426" w:right="-142"/>
    </w:pPr>
    <w:rPr>
      <w:rFonts w:ascii="Arial" w:hAnsi="Arial"/>
      <w:sz w:val="22"/>
    </w:rPr>
  </w:style>
  <w:style w:type="paragraph" w:customStyle="1" w:styleId="t-9-8">
    <w:name w:val="t-9-8"/>
    <w:basedOn w:val="Normal"/>
    <w:rsid w:val="00366B80"/>
    <w:pPr>
      <w:spacing w:before="100" w:beforeAutospacing="1" w:after="100" w:afterAutospacing="1"/>
    </w:pPr>
    <w:rPr>
      <w:sz w:val="24"/>
      <w:szCs w:val="24"/>
      <w:lang w:eastAsia="hr-HR"/>
    </w:rPr>
  </w:style>
  <w:style w:type="character" w:customStyle="1" w:styleId="kurziv1">
    <w:name w:val="kurziv1"/>
    <w:rsid w:val="00366B80"/>
    <w:rPr>
      <w:i/>
      <w:iCs/>
    </w:rPr>
  </w:style>
  <w:style w:type="paragraph" w:styleId="ListParagraph">
    <w:name w:val="List Paragraph"/>
    <w:basedOn w:val="Normal"/>
    <w:uiPriority w:val="34"/>
    <w:qFormat/>
    <w:rsid w:val="00366B8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366B80"/>
    <w:pPr>
      <w:tabs>
        <w:tab w:val="center" w:pos="4153"/>
        <w:tab w:val="right" w:pos="8306"/>
      </w:tabs>
    </w:pPr>
  </w:style>
  <w:style w:type="character" w:customStyle="1" w:styleId="FooterChar">
    <w:name w:val="Footer Char"/>
    <w:basedOn w:val="DefaultParagraphFont"/>
    <w:link w:val="Footer"/>
    <w:rsid w:val="00366B80"/>
    <w:rPr>
      <w:rFonts w:ascii="Times New Roman" w:eastAsia="Times New Roman" w:hAnsi="Times New Roman" w:cs="Times New Roman"/>
      <w:sz w:val="20"/>
      <w:szCs w:val="20"/>
    </w:rPr>
  </w:style>
  <w:style w:type="character" w:styleId="PageNumber">
    <w:name w:val="page number"/>
    <w:basedOn w:val="DefaultParagraphFont"/>
    <w:rsid w:val="00366B80"/>
  </w:style>
  <w:style w:type="paragraph" w:styleId="Header">
    <w:name w:val="header"/>
    <w:basedOn w:val="Normal"/>
    <w:link w:val="HeaderChar"/>
    <w:rsid w:val="00366B80"/>
    <w:pPr>
      <w:tabs>
        <w:tab w:val="center" w:pos="4153"/>
        <w:tab w:val="right" w:pos="8306"/>
      </w:tabs>
    </w:pPr>
  </w:style>
  <w:style w:type="character" w:customStyle="1" w:styleId="HeaderChar">
    <w:name w:val="Header Char"/>
    <w:basedOn w:val="DefaultParagraphFont"/>
    <w:link w:val="Header"/>
    <w:rsid w:val="00366B80"/>
    <w:rPr>
      <w:rFonts w:ascii="Times New Roman" w:eastAsia="Times New Roman" w:hAnsi="Times New Roman" w:cs="Times New Roman"/>
      <w:sz w:val="20"/>
      <w:szCs w:val="20"/>
    </w:rPr>
  </w:style>
  <w:style w:type="paragraph" w:styleId="BlockText">
    <w:name w:val="Block Text"/>
    <w:basedOn w:val="Normal"/>
    <w:semiHidden/>
    <w:rsid w:val="00366B80"/>
    <w:pPr>
      <w:tabs>
        <w:tab w:val="left" w:pos="567"/>
      </w:tabs>
      <w:ind w:left="-426" w:right="-142"/>
    </w:pPr>
    <w:rPr>
      <w:rFonts w:ascii="Arial" w:hAnsi="Arial"/>
      <w:sz w:val="22"/>
    </w:rPr>
  </w:style>
  <w:style w:type="paragraph" w:customStyle="1" w:styleId="t-9-8">
    <w:name w:val="t-9-8"/>
    <w:basedOn w:val="Normal"/>
    <w:rsid w:val="00366B80"/>
    <w:pPr>
      <w:spacing w:before="100" w:beforeAutospacing="1" w:after="100" w:afterAutospacing="1"/>
    </w:pPr>
    <w:rPr>
      <w:sz w:val="24"/>
      <w:szCs w:val="24"/>
      <w:lang w:eastAsia="hr-HR"/>
    </w:rPr>
  </w:style>
  <w:style w:type="character" w:customStyle="1" w:styleId="kurziv1">
    <w:name w:val="kurziv1"/>
    <w:rsid w:val="00366B80"/>
    <w:rPr>
      <w:i/>
      <w:iCs/>
    </w:rPr>
  </w:style>
  <w:style w:type="paragraph" w:styleId="ListParagraph">
    <w:name w:val="List Paragraph"/>
    <w:basedOn w:val="Normal"/>
    <w:uiPriority w:val="34"/>
    <w:qFormat/>
    <w:rsid w:val="00366B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6986</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dc:creator>
  <cp:lastModifiedBy>Hrvoje</cp:lastModifiedBy>
  <cp:revision>1</cp:revision>
  <cp:lastPrinted>2021-12-17T10:16:00Z</cp:lastPrinted>
  <dcterms:created xsi:type="dcterms:W3CDTF">2021-12-17T10:11:00Z</dcterms:created>
  <dcterms:modified xsi:type="dcterms:W3CDTF">2021-12-17T10:25:00Z</dcterms:modified>
</cp:coreProperties>
</file>